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0846C3E9" w:rsidR="00810283" w:rsidRPr="009C3FD0"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A4F06">
        <w:rPr>
          <w:rFonts w:ascii="Open Sans" w:eastAsiaTheme="majorEastAsia" w:hAnsi="Open Sans" w:cs="Open Sans"/>
          <w:iCs/>
          <w:color w:val="002060"/>
          <w:sz w:val="20"/>
          <w:szCs w:val="20"/>
          <w:lang w:eastAsia="en-US"/>
        </w:rPr>
        <w:t>Zatwierdz</w:t>
      </w:r>
      <w:r w:rsidR="005B1A35" w:rsidRPr="00AA4F06">
        <w:rPr>
          <w:rFonts w:ascii="Open Sans" w:eastAsiaTheme="majorEastAsia" w:hAnsi="Open Sans" w:cs="Open Sans"/>
          <w:iCs/>
          <w:color w:val="002060"/>
          <w:sz w:val="20"/>
          <w:szCs w:val="20"/>
          <w:lang w:eastAsia="en-US"/>
        </w:rPr>
        <w:t>ił</w:t>
      </w:r>
      <w:r w:rsidR="00AC7E57" w:rsidRPr="00AA4F06">
        <w:rPr>
          <w:rFonts w:ascii="Open Sans" w:eastAsiaTheme="majorEastAsia" w:hAnsi="Open Sans" w:cs="Open Sans"/>
          <w:iCs/>
          <w:color w:val="002060"/>
          <w:sz w:val="20"/>
          <w:szCs w:val="20"/>
          <w:lang w:eastAsia="en-US"/>
        </w:rPr>
        <w:t>a</w:t>
      </w:r>
      <w:r w:rsidRPr="00AA4F06">
        <w:rPr>
          <w:rFonts w:ascii="Open Sans" w:eastAsiaTheme="majorEastAsia" w:hAnsi="Open Sans" w:cs="Open Sans"/>
          <w:iCs/>
          <w:color w:val="002060"/>
          <w:sz w:val="20"/>
          <w:szCs w:val="20"/>
          <w:lang w:eastAsia="en-US"/>
        </w:rPr>
        <w:t>:</w:t>
      </w:r>
      <w:r w:rsidR="00810283" w:rsidRPr="00AA4F06">
        <w:rPr>
          <w:rFonts w:ascii="Open Sans" w:eastAsiaTheme="majorEastAsia" w:hAnsi="Open Sans" w:cs="Open Sans"/>
          <w:iCs/>
          <w:color w:val="002060"/>
          <w:sz w:val="20"/>
          <w:szCs w:val="20"/>
          <w:lang w:eastAsia="en-US"/>
        </w:rPr>
        <w:t xml:space="preserve">  </w:t>
      </w:r>
      <w:r w:rsidR="000E2767" w:rsidRPr="00AA4F06">
        <w:rPr>
          <w:rFonts w:ascii="Open Sans" w:eastAsiaTheme="majorEastAsia" w:hAnsi="Open Sans" w:cs="Open Sans"/>
          <w:iCs/>
          <w:color w:val="002060"/>
          <w:sz w:val="20"/>
          <w:szCs w:val="20"/>
          <w:lang w:eastAsia="en-US"/>
        </w:rPr>
        <w:t xml:space="preserve">  </w:t>
      </w:r>
      <w:r w:rsidR="000E2767" w:rsidRPr="009C3FD0">
        <w:rPr>
          <w:rFonts w:ascii="Open Sans" w:eastAsiaTheme="majorEastAsia" w:hAnsi="Open Sans" w:cs="Open Sans"/>
          <w:b/>
          <w:iCs/>
          <w:color w:val="002060"/>
          <w:sz w:val="20"/>
          <w:szCs w:val="20"/>
          <w:lang w:eastAsia="en-US"/>
        </w:rPr>
        <w:t>A</w:t>
      </w:r>
      <w:r w:rsidR="00AC7E57" w:rsidRPr="009C3FD0">
        <w:rPr>
          <w:rFonts w:ascii="Open Sans" w:eastAsiaTheme="majorEastAsia" w:hAnsi="Open Sans" w:cs="Open Sans"/>
          <w:b/>
          <w:iCs/>
          <w:color w:val="002060"/>
          <w:sz w:val="20"/>
          <w:szCs w:val="20"/>
          <w:lang w:eastAsia="en-US"/>
        </w:rPr>
        <w:t>gnieszka Idziniak</w:t>
      </w:r>
    </w:p>
    <w:p w14:paraId="4A63AD9B" w14:textId="25F65598"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t>
      </w:r>
      <w:r w:rsidR="00B817AD" w:rsidRPr="009C3FD0">
        <w:rPr>
          <w:rFonts w:ascii="Open Sans" w:eastAsiaTheme="majorEastAsia" w:hAnsi="Open Sans" w:cs="Open Sans"/>
          <w:b/>
          <w:iCs/>
          <w:color w:val="002060"/>
          <w:sz w:val="20"/>
          <w:szCs w:val="20"/>
          <w:lang w:eastAsia="en-US"/>
        </w:rPr>
        <w:t>Zastępca Dyrektora</w:t>
      </w:r>
    </w:p>
    <w:p w14:paraId="6D07FE27" w14:textId="77777777"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Wojewódzki Urząd Pracy</w:t>
      </w:r>
    </w:p>
    <w:p w14:paraId="66AE1F1E" w14:textId="77777777"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 Szczecinie</w:t>
      </w:r>
    </w:p>
    <w:p w14:paraId="40ECB2F7" w14:textId="77777777" w:rsidR="007905E1" w:rsidRPr="00AA4F06"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/podpisano elektronicznie/</w:t>
      </w:r>
    </w:p>
    <w:p w14:paraId="539A8B3D" w14:textId="763E6CC6" w:rsidR="004E75AD" w:rsidRPr="00AA4F06"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AA4F06">
        <w:rPr>
          <w:rFonts w:ascii="Open Sans" w:eastAsiaTheme="majorEastAsia" w:hAnsi="Open Sans" w:cs="Open Sans"/>
          <w:iCs/>
          <w:color w:val="002060"/>
          <w:sz w:val="20"/>
          <w:szCs w:val="20"/>
          <w:lang w:eastAsia="en-US"/>
        </w:rPr>
        <w:t xml:space="preserve">Wersja </w:t>
      </w:r>
      <w:r w:rsidR="00120E9B" w:rsidRPr="00AA4F06">
        <w:rPr>
          <w:rFonts w:ascii="Open Sans" w:eastAsiaTheme="majorEastAsia" w:hAnsi="Open Sans" w:cs="Open Sans"/>
          <w:iCs/>
          <w:color w:val="002060"/>
          <w:sz w:val="20"/>
          <w:szCs w:val="20"/>
          <w:lang w:eastAsia="en-US"/>
        </w:rPr>
        <w:t>1.</w:t>
      </w:r>
      <w:r w:rsidR="008E565C" w:rsidRPr="00AA4F06">
        <w:rPr>
          <w:rFonts w:ascii="Open Sans" w:eastAsiaTheme="majorEastAsia" w:hAnsi="Open Sans" w:cs="Open Sans"/>
          <w:iCs/>
          <w:color w:val="002060"/>
          <w:sz w:val="20"/>
          <w:szCs w:val="20"/>
          <w:lang w:eastAsia="en-US"/>
        </w:rPr>
        <w:t>7</w:t>
      </w:r>
      <w:r w:rsidR="00570550" w:rsidRPr="00AA4F06">
        <w:rPr>
          <w:rFonts w:ascii="Open Sans" w:eastAsiaTheme="majorEastAsia" w:hAnsi="Open Sans" w:cs="Open Sans"/>
          <w:iCs/>
          <w:color w:val="002060"/>
          <w:sz w:val="20"/>
          <w:szCs w:val="20"/>
          <w:lang w:eastAsia="en-US"/>
        </w:rPr>
        <w:t xml:space="preserve"> </w:t>
      </w:r>
    </w:p>
    <w:p w14:paraId="016E7941" w14:textId="38BB440D" w:rsidR="00423777" w:rsidRPr="00244B2B" w:rsidRDefault="00423777" w:rsidP="00244B2B">
      <w:pPr>
        <w:rPr>
          <w:rFonts w:ascii="Open Sans" w:eastAsiaTheme="majorEastAsia" w:hAnsi="Open Sans" w:cs="Open Sans"/>
          <w:color w:val="0F243E" w:themeColor="text2" w:themeShade="80"/>
          <w:sz w:val="20"/>
          <w:szCs w:val="20"/>
          <w:lang w:eastAsia="en-US"/>
        </w:rPr>
      </w:pPr>
      <w:r w:rsidRPr="00AA4F06">
        <w:rPr>
          <w:rFonts w:ascii="Open Sans" w:eastAsiaTheme="majorEastAsia" w:hAnsi="Open Sans" w:cs="Open Sans"/>
          <w:color w:val="0F243E" w:themeColor="text2" w:themeShade="80"/>
          <w:sz w:val="20"/>
          <w:szCs w:val="20"/>
          <w:lang w:eastAsia="en-US"/>
        </w:rPr>
        <w:t>Szczecin, dnia</w:t>
      </w:r>
      <w:r w:rsidR="00A80EEF" w:rsidRPr="00AA4F06">
        <w:rPr>
          <w:rFonts w:ascii="Open Sans" w:eastAsiaTheme="majorEastAsia" w:hAnsi="Open Sans" w:cs="Open Sans"/>
          <w:color w:val="0F243E" w:themeColor="text2" w:themeShade="80"/>
          <w:sz w:val="20"/>
          <w:szCs w:val="20"/>
          <w:lang w:eastAsia="en-US"/>
        </w:rPr>
        <w:t xml:space="preserve"> </w:t>
      </w:r>
      <w:r w:rsidR="00AA4F06" w:rsidRPr="009C3FD0">
        <w:rPr>
          <w:rFonts w:ascii="Open Sans" w:eastAsiaTheme="majorEastAsia" w:hAnsi="Open Sans" w:cs="Open Sans"/>
          <w:color w:val="0F243E" w:themeColor="text2" w:themeShade="80"/>
          <w:sz w:val="20"/>
          <w:szCs w:val="20"/>
          <w:lang w:eastAsia="en-US"/>
        </w:rPr>
        <w:t>30</w:t>
      </w:r>
      <w:r w:rsidRPr="00AA4F06">
        <w:rPr>
          <w:rFonts w:ascii="Open Sans" w:eastAsiaTheme="majorEastAsia" w:hAnsi="Open Sans" w:cs="Open Sans"/>
          <w:color w:val="0F243E" w:themeColor="text2" w:themeShade="80"/>
          <w:sz w:val="20"/>
          <w:szCs w:val="20"/>
          <w:lang w:eastAsia="en-US"/>
        </w:rPr>
        <w:t>.</w:t>
      </w:r>
      <w:r w:rsidR="00DA0849" w:rsidRPr="00AA4F06">
        <w:rPr>
          <w:rFonts w:ascii="Open Sans" w:eastAsiaTheme="majorEastAsia" w:hAnsi="Open Sans" w:cs="Open Sans"/>
          <w:color w:val="0F243E" w:themeColor="text2" w:themeShade="80"/>
          <w:sz w:val="20"/>
          <w:szCs w:val="20"/>
          <w:lang w:eastAsia="en-US"/>
        </w:rPr>
        <w:t>0</w:t>
      </w:r>
      <w:r w:rsidR="008E565C" w:rsidRPr="00AA4F06">
        <w:rPr>
          <w:rFonts w:ascii="Open Sans" w:eastAsiaTheme="majorEastAsia" w:hAnsi="Open Sans" w:cs="Open Sans"/>
          <w:color w:val="0F243E" w:themeColor="text2" w:themeShade="80"/>
          <w:sz w:val="20"/>
          <w:szCs w:val="20"/>
          <w:lang w:eastAsia="en-US"/>
        </w:rPr>
        <w:t>6</w:t>
      </w:r>
      <w:r w:rsidRPr="00AA4F06">
        <w:rPr>
          <w:rFonts w:ascii="Open Sans" w:eastAsiaTheme="majorEastAsia" w:hAnsi="Open Sans" w:cs="Open Sans"/>
          <w:color w:val="0F243E" w:themeColor="text2" w:themeShade="80"/>
          <w:sz w:val="20"/>
          <w:szCs w:val="20"/>
          <w:lang w:eastAsia="en-US"/>
        </w:rPr>
        <w:t>.202</w:t>
      </w:r>
      <w:r w:rsidR="00DA0849" w:rsidRPr="00AA4F06">
        <w:rPr>
          <w:rFonts w:ascii="Open Sans" w:eastAsiaTheme="majorEastAsia" w:hAnsi="Open Sans" w:cs="Open Sans"/>
          <w:color w:val="0F243E" w:themeColor="text2" w:themeShade="80"/>
          <w:sz w:val="20"/>
          <w:szCs w:val="20"/>
          <w:lang w:eastAsia="en-US"/>
        </w:rPr>
        <w:t>5</w:t>
      </w:r>
      <w:r w:rsidRPr="00AA4F06">
        <w:rPr>
          <w:rFonts w:ascii="Open Sans" w:eastAsiaTheme="majorEastAsia" w:hAnsi="Open Sans" w:cs="Open Sans"/>
          <w:color w:val="0F243E" w:themeColor="text2" w:themeShade="80"/>
          <w:sz w:val="20"/>
          <w:szCs w:val="20"/>
          <w:lang w:eastAsia="en-US"/>
        </w:rPr>
        <w:t xml:space="preserve">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52413789"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F2401F">
              <w:rPr>
                <w:noProof/>
                <w:webHidden/>
              </w:rPr>
              <w:t>10</w:t>
            </w:r>
            <w:r w:rsidR="003D03C2">
              <w:rPr>
                <w:noProof/>
                <w:webHidden/>
              </w:rPr>
              <w:fldChar w:fldCharType="end"/>
            </w:r>
          </w:hyperlink>
        </w:p>
        <w:p w14:paraId="7D6F5EB0" w14:textId="5C855D7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Pr="00360DC4">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_Toc153526729 \h </w:instrText>
            </w:r>
            <w:r>
              <w:rPr>
                <w:noProof/>
                <w:webHidden/>
              </w:rPr>
            </w:r>
            <w:r>
              <w:rPr>
                <w:noProof/>
                <w:webHidden/>
              </w:rPr>
              <w:fldChar w:fldCharType="separate"/>
            </w:r>
            <w:r w:rsidR="00F2401F">
              <w:rPr>
                <w:noProof/>
                <w:webHidden/>
              </w:rPr>
              <w:t>10</w:t>
            </w:r>
            <w:r>
              <w:rPr>
                <w:noProof/>
                <w:webHidden/>
              </w:rPr>
              <w:fldChar w:fldCharType="end"/>
            </w:r>
          </w:hyperlink>
        </w:p>
        <w:p w14:paraId="34907D39" w14:textId="5EDBC05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Pr="00360DC4">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_Toc153526730 \h </w:instrText>
            </w:r>
            <w:r>
              <w:rPr>
                <w:noProof/>
                <w:webHidden/>
              </w:rPr>
            </w:r>
            <w:r>
              <w:rPr>
                <w:noProof/>
                <w:webHidden/>
              </w:rPr>
              <w:fldChar w:fldCharType="separate"/>
            </w:r>
            <w:r w:rsidR="00F2401F">
              <w:rPr>
                <w:noProof/>
                <w:webHidden/>
              </w:rPr>
              <w:t>10</w:t>
            </w:r>
            <w:r>
              <w:rPr>
                <w:noProof/>
                <w:webHidden/>
              </w:rPr>
              <w:fldChar w:fldCharType="end"/>
            </w:r>
          </w:hyperlink>
        </w:p>
        <w:p w14:paraId="2620D424" w14:textId="22167374"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Pr="00360DC4">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_Toc153526731 \h </w:instrText>
            </w:r>
            <w:r>
              <w:rPr>
                <w:noProof/>
                <w:webHidden/>
              </w:rPr>
            </w:r>
            <w:r>
              <w:rPr>
                <w:noProof/>
                <w:webHidden/>
              </w:rPr>
              <w:fldChar w:fldCharType="separate"/>
            </w:r>
            <w:r w:rsidR="00F2401F">
              <w:rPr>
                <w:noProof/>
                <w:webHidden/>
              </w:rPr>
              <w:t>13</w:t>
            </w:r>
            <w:r>
              <w:rPr>
                <w:noProof/>
                <w:webHidden/>
              </w:rPr>
              <w:fldChar w:fldCharType="end"/>
            </w:r>
          </w:hyperlink>
        </w:p>
        <w:p w14:paraId="54773A26" w14:textId="10610371"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Pr="00360DC4">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_Toc153526732 \h </w:instrText>
            </w:r>
            <w:r>
              <w:rPr>
                <w:noProof/>
                <w:webHidden/>
              </w:rPr>
            </w:r>
            <w:r>
              <w:rPr>
                <w:noProof/>
                <w:webHidden/>
              </w:rPr>
              <w:fldChar w:fldCharType="separate"/>
            </w:r>
            <w:r w:rsidR="00F2401F">
              <w:rPr>
                <w:noProof/>
                <w:webHidden/>
              </w:rPr>
              <w:t>15</w:t>
            </w:r>
            <w:r>
              <w:rPr>
                <w:noProof/>
                <w:webHidden/>
              </w:rPr>
              <w:fldChar w:fldCharType="end"/>
            </w:r>
          </w:hyperlink>
        </w:p>
        <w:p w14:paraId="7CFEB22C" w14:textId="171076A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Pr="00360DC4">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_Toc153526733 \h </w:instrText>
            </w:r>
            <w:r>
              <w:rPr>
                <w:noProof/>
                <w:webHidden/>
              </w:rPr>
            </w:r>
            <w:r>
              <w:rPr>
                <w:noProof/>
                <w:webHidden/>
              </w:rPr>
              <w:fldChar w:fldCharType="separate"/>
            </w:r>
            <w:r w:rsidR="00F2401F">
              <w:rPr>
                <w:noProof/>
                <w:webHidden/>
              </w:rPr>
              <w:t>15</w:t>
            </w:r>
            <w:r>
              <w:rPr>
                <w:noProof/>
                <w:webHidden/>
              </w:rPr>
              <w:fldChar w:fldCharType="end"/>
            </w:r>
          </w:hyperlink>
        </w:p>
        <w:p w14:paraId="5206312D" w14:textId="5FAF86A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Pr="00360DC4">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_Toc153526734 \h </w:instrText>
            </w:r>
            <w:r>
              <w:rPr>
                <w:noProof/>
                <w:webHidden/>
              </w:rPr>
            </w:r>
            <w:r>
              <w:rPr>
                <w:noProof/>
                <w:webHidden/>
              </w:rPr>
              <w:fldChar w:fldCharType="separate"/>
            </w:r>
            <w:r w:rsidR="00F2401F">
              <w:rPr>
                <w:noProof/>
                <w:webHidden/>
              </w:rPr>
              <w:t>17</w:t>
            </w:r>
            <w:r>
              <w:rPr>
                <w:noProof/>
                <w:webHidden/>
              </w:rPr>
              <w:fldChar w:fldCharType="end"/>
            </w:r>
          </w:hyperlink>
        </w:p>
        <w:p w14:paraId="52997A77" w14:textId="2528F2C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Pr="00360DC4">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_Toc153526735 \h </w:instrText>
            </w:r>
            <w:r>
              <w:rPr>
                <w:noProof/>
                <w:webHidden/>
              </w:rPr>
            </w:r>
            <w:r>
              <w:rPr>
                <w:noProof/>
                <w:webHidden/>
              </w:rPr>
              <w:fldChar w:fldCharType="separate"/>
            </w:r>
            <w:r w:rsidR="00F2401F">
              <w:rPr>
                <w:noProof/>
                <w:webHidden/>
              </w:rPr>
              <w:t>17</w:t>
            </w:r>
            <w:r>
              <w:rPr>
                <w:noProof/>
                <w:webHidden/>
              </w:rPr>
              <w:fldChar w:fldCharType="end"/>
            </w:r>
          </w:hyperlink>
        </w:p>
        <w:p w14:paraId="64FC0F61" w14:textId="3FF9A0ED"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Pr="00360DC4">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_Toc153526736 \h </w:instrText>
            </w:r>
            <w:r>
              <w:rPr>
                <w:noProof/>
                <w:webHidden/>
              </w:rPr>
            </w:r>
            <w:r>
              <w:rPr>
                <w:noProof/>
                <w:webHidden/>
              </w:rPr>
              <w:fldChar w:fldCharType="separate"/>
            </w:r>
            <w:r w:rsidR="00F2401F">
              <w:rPr>
                <w:noProof/>
                <w:webHidden/>
              </w:rPr>
              <w:t>19</w:t>
            </w:r>
            <w:r>
              <w:rPr>
                <w:noProof/>
                <w:webHidden/>
              </w:rPr>
              <w:fldChar w:fldCharType="end"/>
            </w:r>
          </w:hyperlink>
        </w:p>
        <w:p w14:paraId="34E6E883" w14:textId="1124E10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Pr="00360DC4">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_Toc153526737 \h </w:instrText>
            </w:r>
            <w:r>
              <w:rPr>
                <w:noProof/>
                <w:webHidden/>
              </w:rPr>
            </w:r>
            <w:r>
              <w:rPr>
                <w:noProof/>
                <w:webHidden/>
              </w:rPr>
              <w:fldChar w:fldCharType="separate"/>
            </w:r>
            <w:r w:rsidR="00F2401F">
              <w:rPr>
                <w:noProof/>
                <w:webHidden/>
              </w:rPr>
              <w:t>19</w:t>
            </w:r>
            <w:r>
              <w:rPr>
                <w:noProof/>
                <w:webHidden/>
              </w:rPr>
              <w:fldChar w:fldCharType="end"/>
            </w:r>
          </w:hyperlink>
        </w:p>
        <w:p w14:paraId="1972AF20" w14:textId="2B3EEBA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Pr="00360DC4">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_Toc153526738 \h </w:instrText>
            </w:r>
            <w:r>
              <w:rPr>
                <w:noProof/>
                <w:webHidden/>
              </w:rPr>
            </w:r>
            <w:r>
              <w:rPr>
                <w:noProof/>
                <w:webHidden/>
              </w:rPr>
              <w:fldChar w:fldCharType="separate"/>
            </w:r>
            <w:r w:rsidR="00F2401F">
              <w:rPr>
                <w:noProof/>
                <w:webHidden/>
              </w:rPr>
              <w:t>20</w:t>
            </w:r>
            <w:r>
              <w:rPr>
                <w:noProof/>
                <w:webHidden/>
              </w:rPr>
              <w:fldChar w:fldCharType="end"/>
            </w:r>
          </w:hyperlink>
        </w:p>
        <w:p w14:paraId="5FB527AE" w14:textId="4C8DC60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Pr="00360DC4">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_Toc153526742 \h </w:instrText>
            </w:r>
            <w:r>
              <w:rPr>
                <w:noProof/>
                <w:webHidden/>
              </w:rPr>
            </w:r>
            <w:r>
              <w:rPr>
                <w:noProof/>
                <w:webHidden/>
              </w:rPr>
              <w:fldChar w:fldCharType="separate"/>
            </w:r>
            <w:r w:rsidR="00F2401F">
              <w:rPr>
                <w:noProof/>
                <w:webHidden/>
              </w:rPr>
              <w:t>21</w:t>
            </w:r>
            <w:r>
              <w:rPr>
                <w:noProof/>
                <w:webHidden/>
              </w:rPr>
              <w:fldChar w:fldCharType="end"/>
            </w:r>
          </w:hyperlink>
        </w:p>
        <w:p w14:paraId="43C01BDF" w14:textId="02D8621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Pr="00360DC4">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_Toc153526743 \h </w:instrText>
            </w:r>
            <w:r>
              <w:rPr>
                <w:noProof/>
                <w:webHidden/>
              </w:rPr>
            </w:r>
            <w:r>
              <w:rPr>
                <w:noProof/>
                <w:webHidden/>
              </w:rPr>
              <w:fldChar w:fldCharType="separate"/>
            </w:r>
            <w:r w:rsidR="00F2401F">
              <w:rPr>
                <w:noProof/>
                <w:webHidden/>
              </w:rPr>
              <w:t>21</w:t>
            </w:r>
            <w:r>
              <w:rPr>
                <w:noProof/>
                <w:webHidden/>
              </w:rPr>
              <w:fldChar w:fldCharType="end"/>
            </w:r>
          </w:hyperlink>
        </w:p>
        <w:p w14:paraId="3BFA15CD" w14:textId="7FB8E86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Pr="00360DC4">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360DC4">
              <w:rPr>
                <w:rStyle w:val="Hipercze"/>
                <w:noProof/>
              </w:rPr>
              <w:t>Wymagania dotyczące partnerstwa w projekcie</w:t>
            </w:r>
            <w:r>
              <w:rPr>
                <w:noProof/>
                <w:webHidden/>
              </w:rPr>
              <w:tab/>
            </w:r>
            <w:r>
              <w:rPr>
                <w:noProof/>
                <w:webHidden/>
              </w:rPr>
              <w:fldChar w:fldCharType="begin"/>
            </w:r>
            <w:r>
              <w:rPr>
                <w:noProof/>
                <w:webHidden/>
              </w:rPr>
              <w:instrText xml:space="preserve"> PAGEREF _Toc153526744 \h </w:instrText>
            </w:r>
            <w:r>
              <w:rPr>
                <w:noProof/>
                <w:webHidden/>
              </w:rPr>
            </w:r>
            <w:r>
              <w:rPr>
                <w:noProof/>
                <w:webHidden/>
              </w:rPr>
              <w:fldChar w:fldCharType="separate"/>
            </w:r>
            <w:r w:rsidR="00F2401F">
              <w:rPr>
                <w:noProof/>
                <w:webHidden/>
              </w:rPr>
              <w:t>25</w:t>
            </w:r>
            <w:r>
              <w:rPr>
                <w:noProof/>
                <w:webHidden/>
              </w:rPr>
              <w:fldChar w:fldCharType="end"/>
            </w:r>
          </w:hyperlink>
        </w:p>
        <w:p w14:paraId="04232082" w14:textId="1670BAFD"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Pr="00360DC4">
              <w:rPr>
                <w:rStyle w:val="Hipercze"/>
                <w:rFonts w:ascii="Arial" w:hAnsi="Arial" w:cs="Arial"/>
                <w:noProof/>
              </w:rPr>
              <w:t>IV.</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_Toc153526745 \h </w:instrText>
            </w:r>
            <w:r>
              <w:rPr>
                <w:noProof/>
                <w:webHidden/>
              </w:rPr>
            </w:r>
            <w:r>
              <w:rPr>
                <w:noProof/>
                <w:webHidden/>
              </w:rPr>
              <w:fldChar w:fldCharType="separate"/>
            </w:r>
            <w:r w:rsidR="00F2401F">
              <w:rPr>
                <w:noProof/>
                <w:webHidden/>
              </w:rPr>
              <w:t>28</w:t>
            </w:r>
            <w:r>
              <w:rPr>
                <w:noProof/>
                <w:webHidden/>
              </w:rPr>
              <w:fldChar w:fldCharType="end"/>
            </w:r>
          </w:hyperlink>
        </w:p>
        <w:p w14:paraId="52A2D632" w14:textId="1F61267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Pr="00360DC4">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_Toc153526746 \h </w:instrText>
            </w:r>
            <w:r>
              <w:rPr>
                <w:noProof/>
                <w:webHidden/>
              </w:rPr>
            </w:r>
            <w:r>
              <w:rPr>
                <w:noProof/>
                <w:webHidden/>
              </w:rPr>
              <w:fldChar w:fldCharType="separate"/>
            </w:r>
            <w:r w:rsidR="00F2401F">
              <w:rPr>
                <w:noProof/>
                <w:webHidden/>
              </w:rPr>
              <w:t>28</w:t>
            </w:r>
            <w:r>
              <w:rPr>
                <w:noProof/>
                <w:webHidden/>
              </w:rPr>
              <w:fldChar w:fldCharType="end"/>
            </w:r>
          </w:hyperlink>
        </w:p>
        <w:p w14:paraId="4C001421" w14:textId="351D1FE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Pr="00360DC4">
              <w:rPr>
                <w:rStyle w:val="Hipercze"/>
                <w:rFonts w:ascii="Arial" w:hAnsi="Arial" w:cs="Arial"/>
                <w:noProof/>
              </w:rPr>
              <w:t>4.2.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_Toc153526747 \h </w:instrText>
            </w:r>
            <w:r>
              <w:rPr>
                <w:noProof/>
                <w:webHidden/>
              </w:rPr>
            </w:r>
            <w:r>
              <w:rPr>
                <w:noProof/>
                <w:webHidden/>
              </w:rPr>
              <w:fldChar w:fldCharType="separate"/>
            </w:r>
            <w:r w:rsidR="00F2401F">
              <w:rPr>
                <w:noProof/>
                <w:webHidden/>
              </w:rPr>
              <w:t>29</w:t>
            </w:r>
            <w:r>
              <w:rPr>
                <w:noProof/>
                <w:webHidden/>
              </w:rPr>
              <w:fldChar w:fldCharType="end"/>
            </w:r>
          </w:hyperlink>
        </w:p>
        <w:p w14:paraId="3A111945" w14:textId="6227AD35"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Pr="00360DC4">
              <w:rPr>
                <w:rStyle w:val="Hipercze"/>
                <w:rFonts w:ascii="Arial" w:hAnsi="Arial" w:cs="Arial"/>
                <w:noProof/>
              </w:rPr>
              <w:t>4.3.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_Toc153526748 \h </w:instrText>
            </w:r>
            <w:r>
              <w:rPr>
                <w:noProof/>
                <w:webHidden/>
              </w:rPr>
            </w:r>
            <w:r>
              <w:rPr>
                <w:noProof/>
                <w:webHidden/>
              </w:rPr>
              <w:fldChar w:fldCharType="separate"/>
            </w:r>
            <w:r w:rsidR="00F2401F">
              <w:rPr>
                <w:noProof/>
                <w:webHidden/>
              </w:rPr>
              <w:t>30</w:t>
            </w:r>
            <w:r>
              <w:rPr>
                <w:noProof/>
                <w:webHidden/>
              </w:rPr>
              <w:fldChar w:fldCharType="end"/>
            </w:r>
          </w:hyperlink>
        </w:p>
        <w:p w14:paraId="3D033965" w14:textId="78F023BF"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Pr="00360DC4">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_Toc153526749 \h </w:instrText>
            </w:r>
            <w:r>
              <w:rPr>
                <w:noProof/>
                <w:webHidden/>
              </w:rPr>
            </w:r>
            <w:r>
              <w:rPr>
                <w:noProof/>
                <w:webHidden/>
              </w:rPr>
              <w:fldChar w:fldCharType="separate"/>
            </w:r>
            <w:r w:rsidR="00F2401F">
              <w:rPr>
                <w:noProof/>
                <w:webHidden/>
              </w:rPr>
              <w:t>66</w:t>
            </w:r>
            <w:r>
              <w:rPr>
                <w:noProof/>
                <w:webHidden/>
              </w:rPr>
              <w:fldChar w:fldCharType="end"/>
            </w:r>
          </w:hyperlink>
        </w:p>
        <w:p w14:paraId="3FBD9C8D" w14:textId="016FB9EB"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Pr="00360DC4">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_Toc153526750 \h </w:instrText>
            </w:r>
            <w:r>
              <w:rPr>
                <w:noProof/>
                <w:webHidden/>
              </w:rPr>
            </w:r>
            <w:r>
              <w:rPr>
                <w:noProof/>
                <w:webHidden/>
              </w:rPr>
              <w:fldChar w:fldCharType="separate"/>
            </w:r>
            <w:r w:rsidR="00F2401F">
              <w:rPr>
                <w:noProof/>
                <w:webHidden/>
              </w:rPr>
              <w:t>66</w:t>
            </w:r>
            <w:r>
              <w:rPr>
                <w:noProof/>
                <w:webHidden/>
              </w:rPr>
              <w:fldChar w:fldCharType="end"/>
            </w:r>
          </w:hyperlink>
        </w:p>
        <w:p w14:paraId="682BA44A" w14:textId="3B11BFD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Pr="00360DC4">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_Toc153526751 \h </w:instrText>
            </w:r>
            <w:r>
              <w:rPr>
                <w:noProof/>
                <w:webHidden/>
              </w:rPr>
            </w:r>
            <w:r>
              <w:rPr>
                <w:noProof/>
                <w:webHidden/>
              </w:rPr>
              <w:fldChar w:fldCharType="separate"/>
            </w:r>
            <w:r w:rsidR="00F2401F">
              <w:rPr>
                <w:noProof/>
                <w:webHidden/>
              </w:rPr>
              <w:t>66</w:t>
            </w:r>
            <w:r>
              <w:rPr>
                <w:noProof/>
                <w:webHidden/>
              </w:rPr>
              <w:fldChar w:fldCharType="end"/>
            </w:r>
          </w:hyperlink>
        </w:p>
        <w:p w14:paraId="6D4A8744" w14:textId="2A32D51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Pr="00360DC4">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_Toc153526752 \h </w:instrText>
            </w:r>
            <w:r>
              <w:rPr>
                <w:noProof/>
                <w:webHidden/>
              </w:rPr>
            </w:r>
            <w:r>
              <w:rPr>
                <w:noProof/>
                <w:webHidden/>
              </w:rPr>
              <w:fldChar w:fldCharType="separate"/>
            </w:r>
            <w:r w:rsidR="00F2401F">
              <w:rPr>
                <w:noProof/>
                <w:webHidden/>
              </w:rPr>
              <w:t>71</w:t>
            </w:r>
            <w:r>
              <w:rPr>
                <w:noProof/>
                <w:webHidden/>
              </w:rPr>
              <w:fldChar w:fldCharType="end"/>
            </w:r>
          </w:hyperlink>
        </w:p>
        <w:p w14:paraId="5F343A7B" w14:textId="15EFED8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Pr="00360DC4">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_Toc153526753 \h </w:instrText>
            </w:r>
            <w:r>
              <w:rPr>
                <w:noProof/>
                <w:webHidden/>
              </w:rPr>
            </w:r>
            <w:r>
              <w:rPr>
                <w:noProof/>
                <w:webHidden/>
              </w:rPr>
              <w:fldChar w:fldCharType="separate"/>
            </w:r>
            <w:r w:rsidR="00F2401F">
              <w:rPr>
                <w:noProof/>
                <w:webHidden/>
              </w:rPr>
              <w:t>72</w:t>
            </w:r>
            <w:r>
              <w:rPr>
                <w:noProof/>
                <w:webHidden/>
              </w:rPr>
              <w:fldChar w:fldCharType="end"/>
            </w:r>
          </w:hyperlink>
        </w:p>
        <w:p w14:paraId="71B46768" w14:textId="6F56646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Pr="00360DC4">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_Toc153526754 \h </w:instrText>
            </w:r>
            <w:r>
              <w:rPr>
                <w:noProof/>
                <w:webHidden/>
              </w:rPr>
            </w:r>
            <w:r>
              <w:rPr>
                <w:noProof/>
                <w:webHidden/>
              </w:rPr>
              <w:fldChar w:fldCharType="separate"/>
            </w:r>
            <w:r w:rsidR="00F2401F">
              <w:rPr>
                <w:noProof/>
                <w:webHidden/>
              </w:rPr>
              <w:t>72</w:t>
            </w:r>
            <w:r>
              <w:rPr>
                <w:noProof/>
                <w:webHidden/>
              </w:rPr>
              <w:fldChar w:fldCharType="end"/>
            </w:r>
          </w:hyperlink>
        </w:p>
        <w:p w14:paraId="30F0021C" w14:textId="745A900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Pr="00360DC4">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_Toc153526755 \h </w:instrText>
            </w:r>
            <w:r>
              <w:rPr>
                <w:noProof/>
                <w:webHidden/>
              </w:rPr>
            </w:r>
            <w:r>
              <w:rPr>
                <w:noProof/>
                <w:webHidden/>
              </w:rPr>
              <w:fldChar w:fldCharType="separate"/>
            </w:r>
            <w:r w:rsidR="00F2401F">
              <w:rPr>
                <w:noProof/>
                <w:webHidden/>
              </w:rPr>
              <w:t>73</w:t>
            </w:r>
            <w:r>
              <w:rPr>
                <w:noProof/>
                <w:webHidden/>
              </w:rPr>
              <w:fldChar w:fldCharType="end"/>
            </w:r>
          </w:hyperlink>
        </w:p>
        <w:p w14:paraId="028DB36F" w14:textId="4C744C9C"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6" w:history="1">
            <w:r w:rsidRPr="00C627CF">
              <w:rPr>
                <w:rStyle w:val="Hipercze"/>
                <w:rFonts w:ascii="Arial" w:hAnsi="Arial" w:cs="Arial"/>
                <w:i w:val="0"/>
                <w:iCs w:val="0"/>
                <w:noProof/>
              </w:rPr>
              <w:t>5.1.6.</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Szczegółowy budżet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_Toc153526756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74</w:t>
            </w:r>
            <w:r w:rsidRPr="00C627CF">
              <w:rPr>
                <w:rFonts w:ascii="Arial" w:hAnsi="Arial" w:cs="Arial"/>
                <w:i w:val="0"/>
                <w:iCs w:val="0"/>
                <w:noProof/>
                <w:webHidden/>
              </w:rPr>
              <w:fldChar w:fldCharType="end"/>
            </w:r>
          </w:hyperlink>
        </w:p>
        <w:p w14:paraId="112952D6" w14:textId="6EFDD502"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7" w:history="1">
            <w:r w:rsidRPr="00C627CF">
              <w:rPr>
                <w:rStyle w:val="Hipercze"/>
                <w:rFonts w:ascii="Arial" w:hAnsi="Arial" w:cs="Arial"/>
                <w:i w:val="0"/>
                <w:iCs w:val="0"/>
                <w:noProof/>
              </w:rPr>
              <w:t>5.1.7.</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Uproszczone metody rozliczania wydatków kosztów bezpośrednich</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_Toc153526757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74</w:t>
            </w:r>
            <w:r w:rsidRPr="00C627CF">
              <w:rPr>
                <w:rFonts w:ascii="Arial" w:hAnsi="Arial" w:cs="Arial"/>
                <w:i w:val="0"/>
                <w:iCs w:val="0"/>
                <w:noProof/>
                <w:webHidden/>
              </w:rPr>
              <w:fldChar w:fldCharType="end"/>
            </w:r>
          </w:hyperlink>
        </w:p>
        <w:p w14:paraId="795BA758" w14:textId="5F72AE4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Pr="00360DC4">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_Toc153526758 \h </w:instrText>
            </w:r>
            <w:r>
              <w:rPr>
                <w:noProof/>
                <w:webHidden/>
              </w:rPr>
            </w:r>
            <w:r>
              <w:rPr>
                <w:noProof/>
                <w:webHidden/>
              </w:rPr>
              <w:fldChar w:fldCharType="separate"/>
            </w:r>
            <w:r w:rsidR="00F2401F">
              <w:rPr>
                <w:noProof/>
                <w:webHidden/>
              </w:rPr>
              <w:t>74</w:t>
            </w:r>
            <w:r>
              <w:rPr>
                <w:noProof/>
                <w:webHidden/>
              </w:rPr>
              <w:fldChar w:fldCharType="end"/>
            </w:r>
          </w:hyperlink>
        </w:p>
        <w:p w14:paraId="4C2FD660" w14:textId="5E6E2BF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Pr="00360DC4">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_Toc153526759 \h </w:instrText>
            </w:r>
            <w:r>
              <w:rPr>
                <w:noProof/>
                <w:webHidden/>
              </w:rPr>
            </w:r>
            <w:r>
              <w:rPr>
                <w:noProof/>
                <w:webHidden/>
              </w:rPr>
              <w:fldChar w:fldCharType="separate"/>
            </w:r>
            <w:r w:rsidR="00F2401F">
              <w:rPr>
                <w:noProof/>
                <w:webHidden/>
              </w:rPr>
              <w:t>75</w:t>
            </w:r>
            <w:r>
              <w:rPr>
                <w:noProof/>
                <w:webHidden/>
              </w:rPr>
              <w:fldChar w:fldCharType="end"/>
            </w:r>
          </w:hyperlink>
        </w:p>
        <w:p w14:paraId="62400102" w14:textId="1EF49C62"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1" w:history="1">
            <w:r w:rsidRPr="00C627CF">
              <w:rPr>
                <w:rStyle w:val="Hipercze"/>
                <w:rFonts w:ascii="Arial" w:hAnsi="Arial" w:cs="Arial"/>
                <w:i w:val="0"/>
                <w:iCs w:val="0"/>
                <w:noProof/>
              </w:rPr>
              <w:t>5.3.1.</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Kwalifikowalność uczestnika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_Toc153526761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75</w:t>
            </w:r>
            <w:r w:rsidRPr="00C627CF">
              <w:rPr>
                <w:rFonts w:ascii="Arial" w:hAnsi="Arial" w:cs="Arial"/>
                <w:i w:val="0"/>
                <w:iCs w:val="0"/>
                <w:noProof/>
                <w:webHidden/>
              </w:rPr>
              <w:fldChar w:fldCharType="end"/>
            </w:r>
          </w:hyperlink>
        </w:p>
        <w:p w14:paraId="4C73854A" w14:textId="525EB0DA"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2" w:history="1">
            <w:r w:rsidRPr="00C627CF">
              <w:rPr>
                <w:rStyle w:val="Hipercze"/>
                <w:rFonts w:ascii="Arial" w:hAnsi="Arial" w:cs="Arial"/>
                <w:i w:val="0"/>
                <w:iCs w:val="0"/>
                <w:noProof/>
              </w:rPr>
              <w:t>5.3.2.</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Weryfikacja podwójnego uczestnictwa w projektach z zakresu aktywizacji społeczno-zawodowej dofinansowanych ze środków EFS+</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_Toc153526762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78</w:t>
            </w:r>
            <w:r w:rsidRPr="00C627CF">
              <w:rPr>
                <w:rFonts w:ascii="Arial" w:hAnsi="Arial" w:cs="Arial"/>
                <w:i w:val="0"/>
                <w:iCs w:val="0"/>
                <w:noProof/>
                <w:webHidden/>
              </w:rPr>
              <w:fldChar w:fldCharType="end"/>
            </w:r>
          </w:hyperlink>
        </w:p>
        <w:p w14:paraId="06CD4060" w14:textId="23D0E716"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3" w:history="1">
            <w:r w:rsidRPr="00C627CF">
              <w:rPr>
                <w:rStyle w:val="Hipercze"/>
                <w:rFonts w:ascii="Arial" w:hAnsi="Arial" w:cs="Arial"/>
                <w:i w:val="0"/>
                <w:iCs w:val="0"/>
                <w:noProof/>
              </w:rPr>
              <w:t>5.3.3.</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Wsparcie w zakresie nabywania i/lub podnoszenia kompetencji lub kwalifikacji</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_Toc153526763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78</w:t>
            </w:r>
            <w:r w:rsidRPr="00C627CF">
              <w:rPr>
                <w:rFonts w:ascii="Arial" w:hAnsi="Arial" w:cs="Arial"/>
                <w:i w:val="0"/>
                <w:iCs w:val="0"/>
                <w:noProof/>
                <w:webHidden/>
              </w:rPr>
              <w:fldChar w:fldCharType="end"/>
            </w:r>
          </w:hyperlink>
        </w:p>
        <w:p w14:paraId="0B2B6A36" w14:textId="047DD691"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4" w:history="1">
            <w:r w:rsidRPr="00C627CF">
              <w:rPr>
                <w:rStyle w:val="Hipercze"/>
                <w:rFonts w:ascii="Arial" w:hAnsi="Arial" w:cs="Arial"/>
                <w:i w:val="0"/>
                <w:iCs w:val="0"/>
                <w:noProof/>
              </w:rPr>
              <w:t>5.3.4.</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Wytyczne do realizacji projektów</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_Toc153526764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2401F">
              <w:rPr>
                <w:rFonts w:ascii="Arial" w:hAnsi="Arial" w:cs="Arial"/>
                <w:i w:val="0"/>
                <w:iCs w:val="0"/>
                <w:noProof/>
                <w:webHidden/>
              </w:rPr>
              <w:t>80</w:t>
            </w:r>
            <w:r w:rsidRPr="00C627CF">
              <w:rPr>
                <w:rFonts w:ascii="Arial" w:hAnsi="Arial" w:cs="Arial"/>
                <w:i w:val="0"/>
                <w:iCs w:val="0"/>
                <w:noProof/>
                <w:webHidden/>
              </w:rPr>
              <w:fldChar w:fldCharType="end"/>
            </w:r>
          </w:hyperlink>
        </w:p>
        <w:p w14:paraId="1B964A19" w14:textId="2D6866AC" w:rsidR="003D03C2" w:rsidRPr="00C627CF" w:rsidRDefault="003D03C2">
          <w:pPr>
            <w:pStyle w:val="Spistreci2"/>
            <w:rPr>
              <w:rFonts w:ascii="Arial" w:eastAsiaTheme="minorEastAsia" w:hAnsi="Arial" w:cs="Arial"/>
              <w:smallCaps w:val="0"/>
              <w:noProof/>
              <w:kern w:val="2"/>
              <w:sz w:val="22"/>
              <w:szCs w:val="22"/>
              <w14:ligatures w14:val="standardContextual"/>
            </w:rPr>
          </w:pPr>
          <w:hyperlink w:anchor="_Toc153526765" w:history="1">
            <w:r w:rsidRPr="00C627CF">
              <w:rPr>
                <w:rStyle w:val="Hipercze"/>
                <w:rFonts w:ascii="Arial" w:hAnsi="Arial" w:cs="Arial"/>
                <w:noProof/>
              </w:rPr>
              <w:t>5.4.</w:t>
            </w:r>
            <w:r w:rsidRPr="00C627CF">
              <w:rPr>
                <w:rFonts w:ascii="Arial" w:eastAsiaTheme="minorEastAsia" w:hAnsi="Arial" w:cs="Arial"/>
                <w:smallCaps w:val="0"/>
                <w:noProof/>
                <w:kern w:val="2"/>
                <w:sz w:val="22"/>
                <w:szCs w:val="22"/>
                <w14:ligatures w14:val="standardContextual"/>
              </w:rPr>
              <w:tab/>
            </w:r>
            <w:r w:rsidRPr="00C627CF">
              <w:rPr>
                <w:rStyle w:val="Hipercze"/>
                <w:rFonts w:ascii="Arial" w:hAnsi="Arial" w:cs="Arial"/>
                <w:noProof/>
              </w:rPr>
              <w:t>Zmiany w projekcie po podpisaniu umowy</w:t>
            </w:r>
            <w:r w:rsidRPr="00C627CF">
              <w:rPr>
                <w:rFonts w:ascii="Arial" w:hAnsi="Arial" w:cs="Arial"/>
                <w:noProof/>
                <w:webHidden/>
              </w:rPr>
              <w:tab/>
            </w:r>
            <w:r w:rsidRPr="00C627CF">
              <w:rPr>
                <w:rFonts w:ascii="Arial" w:hAnsi="Arial" w:cs="Arial"/>
                <w:noProof/>
                <w:webHidden/>
              </w:rPr>
              <w:fldChar w:fldCharType="begin"/>
            </w:r>
            <w:r w:rsidRPr="00C627CF">
              <w:rPr>
                <w:rFonts w:ascii="Arial" w:hAnsi="Arial" w:cs="Arial"/>
                <w:noProof/>
                <w:webHidden/>
              </w:rPr>
              <w:instrText xml:space="preserve"> PAGEREF _Toc153526765 \h </w:instrText>
            </w:r>
            <w:r w:rsidRPr="00C627CF">
              <w:rPr>
                <w:rFonts w:ascii="Arial" w:hAnsi="Arial" w:cs="Arial"/>
                <w:noProof/>
                <w:webHidden/>
              </w:rPr>
            </w:r>
            <w:r w:rsidRPr="00C627CF">
              <w:rPr>
                <w:rFonts w:ascii="Arial" w:hAnsi="Arial" w:cs="Arial"/>
                <w:noProof/>
                <w:webHidden/>
              </w:rPr>
              <w:fldChar w:fldCharType="separate"/>
            </w:r>
            <w:r w:rsidR="00F2401F">
              <w:rPr>
                <w:rFonts w:ascii="Arial" w:hAnsi="Arial" w:cs="Arial"/>
                <w:noProof/>
                <w:webHidden/>
              </w:rPr>
              <w:t>86</w:t>
            </w:r>
            <w:r w:rsidRPr="00C627CF">
              <w:rPr>
                <w:rFonts w:ascii="Arial" w:hAnsi="Arial" w:cs="Arial"/>
                <w:noProof/>
                <w:webHidden/>
              </w:rPr>
              <w:fldChar w:fldCharType="end"/>
            </w:r>
          </w:hyperlink>
        </w:p>
        <w:p w14:paraId="6FA56890" w14:textId="08BA113B"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Pr="00360DC4">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_Toc153526766 \h </w:instrText>
            </w:r>
            <w:r>
              <w:rPr>
                <w:noProof/>
                <w:webHidden/>
              </w:rPr>
            </w:r>
            <w:r>
              <w:rPr>
                <w:noProof/>
                <w:webHidden/>
              </w:rPr>
              <w:fldChar w:fldCharType="separate"/>
            </w:r>
            <w:r w:rsidR="00F2401F">
              <w:rPr>
                <w:noProof/>
                <w:webHidden/>
              </w:rPr>
              <w:t>86</w:t>
            </w:r>
            <w:r>
              <w:rPr>
                <w:noProof/>
                <w:webHidden/>
              </w:rPr>
              <w:fldChar w:fldCharType="end"/>
            </w:r>
          </w:hyperlink>
        </w:p>
        <w:p w14:paraId="37A94118" w14:textId="0F11759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Pr="00360DC4">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_Toc153526767 \h </w:instrText>
            </w:r>
            <w:r>
              <w:rPr>
                <w:noProof/>
                <w:webHidden/>
              </w:rPr>
            </w:r>
            <w:r>
              <w:rPr>
                <w:noProof/>
                <w:webHidden/>
              </w:rPr>
              <w:fldChar w:fldCharType="separate"/>
            </w:r>
            <w:r w:rsidR="00F2401F">
              <w:rPr>
                <w:noProof/>
                <w:webHidden/>
              </w:rPr>
              <w:t>86</w:t>
            </w:r>
            <w:r>
              <w:rPr>
                <w:noProof/>
                <w:webHidden/>
              </w:rPr>
              <w:fldChar w:fldCharType="end"/>
            </w:r>
          </w:hyperlink>
        </w:p>
        <w:p w14:paraId="7332F508" w14:textId="15B6A013"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Pr="00360DC4">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_Toc153526768 \h </w:instrText>
            </w:r>
            <w:r>
              <w:rPr>
                <w:noProof/>
                <w:webHidden/>
              </w:rPr>
            </w:r>
            <w:r>
              <w:rPr>
                <w:noProof/>
                <w:webHidden/>
              </w:rPr>
              <w:fldChar w:fldCharType="separate"/>
            </w:r>
            <w:r w:rsidR="00F2401F">
              <w:rPr>
                <w:noProof/>
                <w:webHidden/>
              </w:rPr>
              <w:t>86</w:t>
            </w:r>
            <w:r>
              <w:rPr>
                <w:noProof/>
                <w:webHidden/>
              </w:rPr>
              <w:fldChar w:fldCharType="end"/>
            </w:r>
          </w:hyperlink>
        </w:p>
        <w:p w14:paraId="04EF2068" w14:textId="02EC8A4C"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Pr="00360DC4">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_Toc153526769 \h </w:instrText>
            </w:r>
            <w:r>
              <w:rPr>
                <w:noProof/>
                <w:webHidden/>
              </w:rPr>
            </w:r>
            <w:r>
              <w:rPr>
                <w:noProof/>
                <w:webHidden/>
              </w:rPr>
              <w:fldChar w:fldCharType="separate"/>
            </w:r>
            <w:r w:rsidR="00F2401F">
              <w:rPr>
                <w:noProof/>
                <w:webHidden/>
              </w:rPr>
              <w:t>87</w:t>
            </w:r>
            <w:r>
              <w:rPr>
                <w:noProof/>
                <w:webHidden/>
              </w:rPr>
              <w:fldChar w:fldCharType="end"/>
            </w:r>
          </w:hyperlink>
        </w:p>
        <w:p w14:paraId="64BAE9DB" w14:textId="696A7773"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Pr="00360DC4">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_Toc153526770 \h </w:instrText>
            </w:r>
            <w:r>
              <w:rPr>
                <w:noProof/>
                <w:webHidden/>
              </w:rPr>
            </w:r>
            <w:r>
              <w:rPr>
                <w:noProof/>
                <w:webHidden/>
              </w:rPr>
              <w:fldChar w:fldCharType="separate"/>
            </w:r>
            <w:r w:rsidR="00F2401F">
              <w:rPr>
                <w:noProof/>
                <w:webHidden/>
              </w:rPr>
              <w:t>88</w:t>
            </w:r>
            <w:r>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00D91411"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w:t>
      </w:r>
      <w:r w:rsidR="00924B30" w:rsidRPr="00660880">
        <w:rPr>
          <w:rFonts w:ascii="Arial" w:hAnsi="Arial" w:cs="Arial"/>
          <w:b/>
          <w:bCs/>
          <w:sz w:val="22"/>
          <w:szCs w:val="22"/>
        </w:rPr>
        <w:t>2021-2027</w:t>
      </w:r>
      <w:r w:rsidRPr="00AA63AA">
        <w:rPr>
          <w:rFonts w:ascii="Arial" w:hAnsi="Arial" w:cs="Arial"/>
          <w:sz w:val="22"/>
          <w:szCs w:val="22"/>
        </w:rPr>
        <w:t xml:space="preserve">–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4497395B"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506C6320"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r w:rsidR="00924B30">
        <w:rPr>
          <w:rFonts w:ascii="Arial" w:hAnsi="Arial" w:cs="Arial"/>
          <w:sz w:val="22"/>
          <w:szCs w:val="22"/>
        </w:rPr>
        <w:t xml:space="preserve"> zwana dalej ustawą wdrożeniową;</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3A25A0B5" w:rsidR="00C93479" w:rsidRPr="00F4775B" w:rsidRDefault="0071685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r w:rsidR="00C93479" w:rsidRPr="00F4775B">
        <w:rPr>
          <w:rFonts w:ascii="Arial" w:hAnsi="Arial" w:cs="Arial"/>
          <w:sz w:val="22"/>
          <w:szCs w:val="22"/>
        </w:rPr>
        <w:t xml:space="preserve">, </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7EEE3367" w:rsidR="00C93479" w:rsidRPr="00F4775B" w:rsidRDefault="00281B1B"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281B1B">
        <w:rPr>
          <w:rFonts w:ascii="Arial" w:hAnsi="Arial" w:cs="Arial"/>
          <w:sz w:val="22"/>
          <w:szCs w:val="22"/>
        </w:rPr>
        <w:lastRenderedPageBreak/>
        <w:t xml:space="preserve">Ustawa z dnia 20 marca 2025 r. o rynku pracy i służbach zatrudnienia (Dz. U. poz. 620 z </w:t>
      </w:r>
      <w:proofErr w:type="spellStart"/>
      <w:r w:rsidRPr="00281B1B">
        <w:rPr>
          <w:rFonts w:ascii="Arial" w:hAnsi="Arial" w:cs="Arial"/>
          <w:sz w:val="22"/>
          <w:szCs w:val="22"/>
        </w:rPr>
        <w:t>późn</w:t>
      </w:r>
      <w:proofErr w:type="spellEnd"/>
      <w:r w:rsidRPr="00281B1B">
        <w:rPr>
          <w:rFonts w:ascii="Arial" w:hAnsi="Arial" w:cs="Arial"/>
          <w:sz w:val="22"/>
          <w:szCs w:val="22"/>
        </w:rPr>
        <w:t>. zm.)</w:t>
      </w:r>
      <w:r>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zm</w:t>
        </w:r>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CE002E0"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Szczegółowego Opisu Osi Priorytetowych Programu Fundusze Europejskie dla Pomorza Zachodniego 2021-2027 wersja </w:t>
      </w:r>
      <w:r w:rsidR="00FE445A">
        <w:rPr>
          <w:rFonts w:ascii="Arial" w:hAnsi="Arial" w:cs="Arial"/>
          <w:sz w:val="22"/>
          <w:szCs w:val="22"/>
        </w:rPr>
        <w:t>7</w:t>
      </w:r>
      <w:r>
        <w:rPr>
          <w:rFonts w:ascii="Arial" w:hAnsi="Arial" w:cs="Arial"/>
          <w:sz w:val="22"/>
          <w:szCs w:val="22"/>
        </w:rPr>
        <w:t xml:space="preserve">.0 z dnia </w:t>
      </w:r>
      <w:r w:rsidR="00FE445A">
        <w:rPr>
          <w:rFonts w:ascii="Arial" w:hAnsi="Arial" w:cs="Arial"/>
          <w:sz w:val="22"/>
          <w:szCs w:val="22"/>
        </w:rPr>
        <w:t>10</w:t>
      </w:r>
      <w:r>
        <w:rPr>
          <w:rFonts w:ascii="Arial" w:hAnsi="Arial" w:cs="Arial"/>
          <w:sz w:val="22"/>
          <w:szCs w:val="22"/>
        </w:rPr>
        <w:t xml:space="preserve"> </w:t>
      </w:r>
      <w:r w:rsidR="00FE445A">
        <w:rPr>
          <w:rFonts w:ascii="Arial" w:hAnsi="Arial" w:cs="Arial"/>
          <w:sz w:val="22"/>
          <w:szCs w:val="22"/>
        </w:rPr>
        <w:t>stycznia</w:t>
      </w:r>
      <w:r>
        <w:rPr>
          <w:rFonts w:ascii="Arial" w:hAnsi="Arial" w:cs="Arial"/>
          <w:sz w:val="22"/>
          <w:szCs w:val="22"/>
        </w:rPr>
        <w:t xml:space="preserve"> 202</w:t>
      </w:r>
      <w:r w:rsidR="00FE445A">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260AC0F9"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924B30">
        <w:rPr>
          <w:rFonts w:ascii="Arial" w:hAnsi="Arial" w:cs="Arial"/>
          <w:sz w:val="22"/>
          <w:szCs w:val="22"/>
        </w:rPr>
        <w:t>p</w:t>
      </w:r>
      <w:r w:rsidRPr="00E813C1">
        <w:rPr>
          <w:rFonts w:ascii="Arial" w:hAnsi="Arial" w:cs="Arial"/>
          <w:sz w:val="22"/>
          <w:szCs w:val="22"/>
        </w:rPr>
        <w:t>rogram</w:t>
      </w:r>
      <w:r w:rsidR="00924B30">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0599D29F"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Uchwały Nr 4/23 Komitetu Monitorującego program</w:t>
      </w:r>
      <w:r w:rsidR="00924B30">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w:t>
      </w:r>
      <w:r w:rsidR="00C93479" w:rsidRPr="00924B30">
        <w:rPr>
          <w:rFonts w:ascii="Arial" w:hAnsi="Arial" w:cs="Arial"/>
          <w:sz w:val="22"/>
          <w:szCs w:val="22"/>
        </w:rPr>
        <w:t>zaliczek w ramach programów finansowanych z udziałem środków europejskich (</w:t>
      </w:r>
      <w:r w:rsidR="005C6EC7" w:rsidRPr="00660880">
        <w:rPr>
          <w:rFonts w:ascii="Arial" w:hAnsi="Arial" w:cs="Arial"/>
          <w:sz w:val="22"/>
          <w:szCs w:val="22"/>
        </w:rPr>
        <w:t xml:space="preserve">Dz. U. poz. 2055) </w:t>
      </w:r>
      <w:r w:rsidR="00C93479" w:rsidRPr="00924B30">
        <w:rPr>
          <w:rFonts w:ascii="Arial" w:hAnsi="Arial" w:cs="Arial"/>
          <w:sz w:val="22"/>
        </w:rPr>
        <w:t>zwane</w:t>
      </w:r>
      <w:r w:rsidR="00C93479" w:rsidRPr="005C6EC7">
        <w:rPr>
          <w:rFonts w:ascii="Arial" w:hAnsi="Arial"/>
          <w:sz w:val="22"/>
        </w:rPr>
        <w:t xml:space="preserv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9913F0B"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5C6EC7" w:rsidRPr="009A0E53">
        <w:rPr>
          <w:rFonts w:cs="Arial"/>
          <w:b/>
          <w:szCs w:val="22"/>
        </w:rPr>
        <w:t>10 598 509,20</w:t>
      </w:r>
      <w:r w:rsidR="005C6EC7">
        <w:rPr>
          <w:rFonts w:cs="Arial"/>
          <w:szCs w:val="22"/>
        </w:rPr>
        <w:t xml:space="preserve">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6BE2753E"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5C6EC7">
        <w:rPr>
          <w:rFonts w:ascii="Arial" w:hAnsi="Arial"/>
          <w:color w:val="000000"/>
          <w:sz w:val="22"/>
        </w:rPr>
        <w:t>9 482 876,65</w:t>
      </w:r>
      <w:r w:rsidR="00243ABF" w:rsidRPr="00243ABF">
        <w:rPr>
          <w:rFonts w:ascii="Arial" w:hAnsi="Arial"/>
          <w:color w:val="000000"/>
          <w:sz w:val="22"/>
        </w:rPr>
        <w:t xml:space="preserve"> zł  </w:t>
      </w:r>
    </w:p>
    <w:p w14:paraId="7D589BE9" w14:textId="106465A0"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5C6EC7">
        <w:rPr>
          <w:rFonts w:ascii="Arial" w:hAnsi="Arial" w:cs="Arial"/>
          <w:color w:val="000000"/>
          <w:sz w:val="22"/>
          <w:szCs w:val="22"/>
        </w:rPr>
        <w:t xml:space="preserve">1 115 632,55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209FD4BE"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AC7E57">
        <w:rPr>
          <w:rFonts w:ascii="Arial" w:hAnsi="Arial" w:cs="Arial"/>
          <w:b/>
          <w:bCs/>
          <w:sz w:val="22"/>
          <w:szCs w:val="22"/>
        </w:rPr>
        <w:t xml:space="preserve">od </w:t>
      </w:r>
      <w:r w:rsidR="00AC7E57" w:rsidRPr="00AC7E57">
        <w:rPr>
          <w:rFonts w:ascii="Arial" w:hAnsi="Arial" w:cs="Arial"/>
          <w:b/>
          <w:bCs/>
          <w:sz w:val="22"/>
          <w:szCs w:val="22"/>
        </w:rPr>
        <w:t>2</w:t>
      </w:r>
      <w:r w:rsidR="00243ABF" w:rsidRPr="00AC7E57">
        <w:rPr>
          <w:rFonts w:ascii="Arial" w:hAnsi="Arial" w:cs="Arial"/>
          <w:b/>
          <w:bCs/>
          <w:sz w:val="22"/>
          <w:szCs w:val="22"/>
        </w:rPr>
        <w:t>1.12.202</w:t>
      </w:r>
      <w:r w:rsidR="00AC7E57" w:rsidRPr="002D39E6">
        <w:rPr>
          <w:rFonts w:ascii="Arial" w:hAnsi="Arial" w:cs="Arial"/>
          <w:b/>
          <w:bCs/>
          <w:sz w:val="22"/>
          <w:szCs w:val="22"/>
        </w:rPr>
        <w:t>3</w:t>
      </w:r>
      <w:r w:rsidR="00243ABF" w:rsidRPr="00AC7E57">
        <w:rPr>
          <w:rFonts w:ascii="Arial" w:hAnsi="Arial" w:cs="Arial"/>
          <w:b/>
          <w:bCs/>
          <w:sz w:val="22"/>
          <w:szCs w:val="22"/>
        </w:rPr>
        <w:t xml:space="preserve"> r. do </w:t>
      </w:r>
      <w:r w:rsidR="00D731A3" w:rsidRPr="00AC7E57">
        <w:rPr>
          <w:rFonts w:ascii="Arial" w:hAnsi="Arial" w:cs="Arial"/>
          <w:b/>
          <w:bCs/>
          <w:sz w:val="22"/>
          <w:szCs w:val="22"/>
        </w:rPr>
        <w:t>3</w:t>
      </w:r>
      <w:r w:rsidR="008E565C">
        <w:rPr>
          <w:rFonts w:ascii="Arial" w:hAnsi="Arial" w:cs="Arial"/>
          <w:b/>
          <w:bCs/>
          <w:sz w:val="22"/>
          <w:szCs w:val="22"/>
        </w:rPr>
        <w:t>1</w:t>
      </w:r>
      <w:r w:rsidR="00243ABF" w:rsidRPr="00AC7E57">
        <w:rPr>
          <w:rFonts w:ascii="Arial" w:hAnsi="Arial" w:cs="Arial"/>
          <w:b/>
          <w:bCs/>
          <w:sz w:val="22"/>
          <w:szCs w:val="22"/>
        </w:rPr>
        <w:t>.</w:t>
      </w:r>
      <w:r w:rsidR="008E565C">
        <w:rPr>
          <w:rFonts w:ascii="Arial" w:hAnsi="Arial" w:cs="Arial"/>
          <w:b/>
          <w:bCs/>
          <w:sz w:val="22"/>
          <w:szCs w:val="22"/>
        </w:rPr>
        <w:t>12</w:t>
      </w:r>
      <w:r w:rsidR="00243ABF" w:rsidRPr="00243ABF">
        <w:rPr>
          <w:rFonts w:ascii="Arial" w:hAnsi="Arial" w:cs="Arial"/>
          <w:b/>
          <w:bCs/>
          <w:sz w:val="22"/>
          <w:szCs w:val="22"/>
        </w:rPr>
        <w:t>.202</w:t>
      </w:r>
      <w:r w:rsidR="00646E5C">
        <w:rPr>
          <w:rFonts w:ascii="Arial" w:hAnsi="Arial" w:cs="Arial"/>
          <w:b/>
          <w:bCs/>
          <w:sz w:val="22"/>
          <w:szCs w:val="22"/>
        </w:rPr>
        <w:t>5</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03A1289B"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 xml:space="preserve">potencjalnego Wnioskodawcę za pomocą </w:t>
      </w:r>
      <w:r w:rsidR="00DA0849" w:rsidRPr="00DA0849">
        <w:rPr>
          <w:rFonts w:ascii="Arial" w:hAnsi="Arial" w:cs="Arial"/>
          <w:sz w:val="22"/>
          <w:szCs w:val="22"/>
        </w:rPr>
        <w:t xml:space="preserve">publicznej usługi rejestrowanego doręczenia elektronicznego z adresu AE:PL-73877-35555-VRRSW-13 lub za pomocą </w:t>
      </w:r>
      <w:r w:rsidR="00DA0849">
        <w:rPr>
          <w:rFonts w:ascii="Arial" w:hAnsi="Arial" w:cs="Arial"/>
          <w:sz w:val="22"/>
          <w:szCs w:val="22"/>
        </w:rPr>
        <w:t xml:space="preserve"> </w:t>
      </w:r>
      <w:r w:rsidRPr="00AA63AA">
        <w:rPr>
          <w:rFonts w:ascii="Arial" w:hAnsi="Arial" w:cs="Arial"/>
          <w:sz w:val="22"/>
          <w:szCs w:val="22"/>
        </w:rPr>
        <w:t>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606D82AC" w:rsidR="00365433" w:rsidRPr="00561C14" w:rsidRDefault="00365433" w:rsidP="00561C14">
      <w:pPr>
        <w:pStyle w:val="Akapitzlist"/>
        <w:numPr>
          <w:ilvl w:val="2"/>
          <w:numId w:val="14"/>
        </w:numPr>
        <w:rPr>
          <w:rFonts w:ascii="Arial" w:hAnsi="Arial" w:cs="Arial"/>
          <w:b/>
          <w:sz w:val="22"/>
          <w:szCs w:val="22"/>
        </w:rPr>
      </w:pPr>
      <w:r w:rsidRPr="00DA0849">
        <w:rPr>
          <w:rFonts w:ascii="Arial" w:hAnsi="Arial" w:cs="Arial"/>
          <w:sz w:val="22"/>
          <w:szCs w:val="22"/>
        </w:rPr>
        <w:t xml:space="preserve">W przypadku gdy stroną lub innym uczestnikiem postępowania jest podmiot </w:t>
      </w:r>
      <w:r w:rsidR="00DA0849" w:rsidRPr="00DA0849">
        <w:rPr>
          <w:rFonts w:ascii="Arial" w:hAnsi="Arial" w:cs="Arial"/>
          <w:sz w:val="22"/>
          <w:szCs w:val="22"/>
        </w:rPr>
        <w:t>z</w:t>
      </w:r>
      <w:r w:rsidRPr="00DA0849">
        <w:rPr>
          <w:rFonts w:ascii="Arial" w:hAnsi="Arial" w:cs="Arial"/>
          <w:sz w:val="22"/>
          <w:szCs w:val="22"/>
        </w:rPr>
        <w:t xml:space="preserve">obowiązany do </w:t>
      </w:r>
      <w:r w:rsidR="00DA0849" w:rsidRPr="00DA0849">
        <w:rPr>
          <w:rFonts w:ascii="Arial" w:hAnsi="Arial" w:cs="Arial"/>
          <w:sz w:val="22"/>
          <w:szCs w:val="22"/>
        </w:rPr>
        <w:t xml:space="preserve">posiadania adresu do doręczeń elektronicznych, zgodnie z wymogami zawartymi w ustawie z dnia 18 listopada 2020 r. o doręczeniach elektronicznych (Dz. U. z 2024 r. poz. 1045,1841) korzystający z publicznej usługi rejestrowanego doręczenia elektronicznego  </w:t>
      </w:r>
      <w:r w:rsidRPr="00DA0849">
        <w:rPr>
          <w:rFonts w:ascii="Arial" w:hAnsi="Arial" w:cs="Arial"/>
          <w:sz w:val="22"/>
          <w:szCs w:val="22"/>
        </w:rPr>
        <w:t>lub inny podmiot (wnioskodawca), który posiada elektroniczną skrzynkę podawczą i wyraża wolę doręczania w taki sposób informacji - informacje</w:t>
      </w:r>
      <w:r w:rsidR="00967552" w:rsidRPr="00DA0849">
        <w:rPr>
          <w:rFonts w:ascii="Arial" w:hAnsi="Arial" w:cs="Arial"/>
          <w:sz w:val="22"/>
          <w:szCs w:val="22"/>
        </w:rPr>
        <w:t xml:space="preserve"> o wyniku oceny wniosku </w:t>
      </w:r>
      <w:r w:rsidRPr="00DA0849">
        <w:rPr>
          <w:rFonts w:ascii="Arial" w:hAnsi="Arial" w:cs="Arial"/>
          <w:sz w:val="22"/>
          <w:szCs w:val="22"/>
        </w:rPr>
        <w:t xml:space="preserve">w formie elektronicznej doręcza się na </w:t>
      </w:r>
      <w:r w:rsidR="00DA0849" w:rsidRPr="00DA0849">
        <w:rPr>
          <w:rFonts w:ascii="Arial" w:hAnsi="Arial" w:cs="Arial"/>
          <w:sz w:val="22"/>
          <w:szCs w:val="22"/>
        </w:rPr>
        <w:t xml:space="preserve">adres do doręczeń elektronicznych lub </w:t>
      </w:r>
      <w:r w:rsidRPr="00DA0849">
        <w:rPr>
          <w:rFonts w:ascii="Arial" w:hAnsi="Arial" w:cs="Arial"/>
          <w:sz w:val="22"/>
          <w:szCs w:val="22"/>
        </w:rPr>
        <w:t xml:space="preserve">elektroniczną skrzynkę podawczą tego podmiotu. </w:t>
      </w:r>
      <w:r w:rsidRPr="00DA0849">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DA0849">
        <w:rPr>
          <w:rFonts w:ascii="Arial" w:hAnsi="Arial" w:cs="Arial"/>
          <w:b/>
          <w:sz w:val="22"/>
          <w:szCs w:val="22"/>
        </w:rPr>
        <w:t>ePUAP</w:t>
      </w:r>
      <w:proofErr w:type="spellEnd"/>
      <w:r w:rsidR="00D805D1">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t>
      </w:r>
      <w:r w:rsidRPr="00B326BB">
        <w:rPr>
          <w:rFonts w:ascii="Arial" w:hAnsi="Arial" w:cs="Arial"/>
          <w:sz w:val="22"/>
          <w:szCs w:val="22"/>
        </w:rPr>
        <w:lastRenderedPageBreak/>
        <w:t>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742D5928"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Oświadczenia </w:t>
      </w:r>
      <w:r w:rsidR="00924B30">
        <w:rPr>
          <w:rFonts w:ascii="Arial" w:hAnsi="Arial" w:cs="Arial"/>
          <w:iCs/>
          <w:sz w:val="22"/>
          <w:szCs w:val="22"/>
        </w:rPr>
        <w:t xml:space="preserve">dotyczącego </w:t>
      </w:r>
      <w:r w:rsidRPr="00B326BB">
        <w:rPr>
          <w:rFonts w:ascii="Arial" w:hAnsi="Arial" w:cs="Arial"/>
          <w:iCs/>
          <w:sz w:val="22"/>
          <w:szCs w:val="22"/>
        </w:rPr>
        <w:t>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w:t>
      </w:r>
      <w:r w:rsidRPr="00AA63AA">
        <w:rPr>
          <w:rFonts w:ascii="Arial" w:hAnsi="Arial" w:cs="Arial"/>
          <w:sz w:val="22"/>
          <w:szCs w:val="22"/>
        </w:rPr>
        <w:lastRenderedPageBreak/>
        <w:t>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2CE2FB1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462A3F" w:rsidRPr="00462A3F">
        <w:rPr>
          <w:rFonts w:ascii="Arial" w:hAnsi="Arial" w:cs="Arial"/>
          <w:iCs/>
          <w:sz w:val="22"/>
          <w:szCs w:val="22"/>
        </w:rPr>
        <w:t>Udział eksperta w wyborze projektów do dofinansowania oznacza możliwość, jeśli zachodzi taka konieczność, zaangażowania go do czynności w zakresie opiniowania i wydawania rad/rekomendacji w odniesieniu do sposobu oceny danego projektu. W takim przypadku opinia nieposiadająca wiążącego charakteru, wydawana jest przez eksperta na Karcie/</w:t>
      </w:r>
      <w:proofErr w:type="spellStart"/>
      <w:r w:rsidR="00462A3F" w:rsidRPr="00462A3F">
        <w:rPr>
          <w:rFonts w:ascii="Arial" w:hAnsi="Arial" w:cs="Arial"/>
          <w:iCs/>
          <w:sz w:val="22"/>
          <w:szCs w:val="22"/>
        </w:rPr>
        <w:t>tach</w:t>
      </w:r>
      <w:proofErr w:type="spellEnd"/>
      <w:r w:rsidR="00462A3F" w:rsidRPr="00462A3F">
        <w:rPr>
          <w:rFonts w:ascii="Arial" w:hAnsi="Arial" w:cs="Arial"/>
          <w:iCs/>
          <w:sz w:val="22"/>
          <w:szCs w:val="22"/>
        </w:rPr>
        <w:t xml:space="preserve"> opinii na temat wniosku o dofinansowanie projektu wybieranego w sposób niekonkurencyjny w ramach FEPZ 2021-2027. Szczegóły związane z procesem wydawania opinii przez eksperta zawarte są w Regulaminie prac KOP</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4B36D4E7" w:rsidR="0073230E" w:rsidRPr="005177A9" w:rsidRDefault="0073230E" w:rsidP="0073230E">
            <w:pPr>
              <w:spacing w:before="120" w:after="120" w:line="271" w:lineRule="auto"/>
              <w:rPr>
                <w:rFonts w:ascii="Arial" w:hAnsi="Arial" w:cs="Arial"/>
                <w:sz w:val="22"/>
                <w:szCs w:val="22"/>
              </w:rPr>
            </w:pPr>
            <w:r w:rsidRPr="002D39E6">
              <w:rPr>
                <w:rFonts w:ascii="Arial" w:eastAsia="Calibri" w:hAnsi="Arial" w:cs="Arial"/>
                <w:sz w:val="22"/>
                <w:szCs w:val="22"/>
                <w:lang w:eastAsia="en-US"/>
              </w:rPr>
              <w:t>Zgodność z porozumieniem terytorialnym</w:t>
            </w:r>
          </w:p>
        </w:tc>
        <w:tc>
          <w:tcPr>
            <w:tcW w:w="2693" w:type="dxa"/>
            <w:shd w:val="clear" w:color="auto" w:fill="auto"/>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shd w:val="clear" w:color="auto" w:fill="auto"/>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FDCDD93"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shd w:val="clear" w:color="auto" w:fill="auto"/>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shd w:val="clear" w:color="auto" w:fill="auto"/>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shd w:val="clear" w:color="auto" w:fill="auto"/>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361832B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3.1.4</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56C7AFED"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 xml:space="preserve">za pośrednictwem </w:t>
      </w:r>
      <w:r w:rsidR="00DA0849" w:rsidRPr="00DA0849">
        <w:rPr>
          <w:rFonts w:ascii="Arial" w:hAnsi="Arial" w:cs="Arial"/>
          <w:sz w:val="22"/>
          <w:szCs w:val="22"/>
        </w:rPr>
        <w:t xml:space="preserve">publicznej usługi rejestrowanego doręczenia elektronicznego lub </w:t>
      </w:r>
      <w:r w:rsidR="00120E9B" w:rsidRPr="00AA63AA">
        <w:rPr>
          <w:rFonts w:ascii="Arial" w:hAnsi="Arial" w:cs="Arial"/>
          <w:sz w:val="22"/>
          <w:szCs w:val="22"/>
        </w:rPr>
        <w:t>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w:t>
      </w:r>
      <w:r w:rsidR="00DA0849">
        <w:rPr>
          <w:rFonts w:ascii="Arial" w:hAnsi="Arial" w:cs="Arial"/>
          <w:sz w:val="22"/>
          <w:szCs w:val="22"/>
        </w:rPr>
        <w:t>.</w:t>
      </w:r>
      <w:r w:rsidR="00120E9B" w:rsidRPr="00AA63AA">
        <w:rPr>
          <w:rFonts w:ascii="Arial" w:hAnsi="Arial" w:cs="Arial"/>
          <w:sz w:val="22"/>
          <w:szCs w:val="22"/>
        </w:rPr>
        <w:t xml:space="preserve"> </w:t>
      </w:r>
      <w:r w:rsidR="009C3EFC" w:rsidRPr="00AA63AA">
        <w:rPr>
          <w:rFonts w:ascii="Arial" w:hAnsi="Arial" w:cs="Arial"/>
          <w:sz w:val="22"/>
          <w:szCs w:val="22"/>
        </w:rPr>
        <w:t xml:space="preserve">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45B4E9E5" w:rsidR="000503A3"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Dokumenty elektroniczne są doręczane za pomocą </w:t>
      </w:r>
      <w:r w:rsidR="00DA0849" w:rsidRPr="00DA0849">
        <w:rPr>
          <w:rFonts w:ascii="Arial" w:hAnsi="Arial" w:cs="Arial"/>
          <w:sz w:val="22"/>
          <w:szCs w:val="22"/>
        </w:rPr>
        <w:t>adresu do doręczeń elektronicznych) z wykorzystaniem publicznej usługi rejestrowanego doręczenia elektronicznego,</w:t>
      </w:r>
      <w:r w:rsidRPr="00AA63AA">
        <w:rPr>
          <w:rFonts w:ascii="Arial" w:hAnsi="Arial" w:cs="Arial"/>
          <w:sz w:val="22"/>
          <w:szCs w:val="22"/>
        </w:rPr>
        <w:t xml:space="preserve">) pod adresem </w:t>
      </w:r>
    </w:p>
    <w:p w14:paraId="441CD603" w14:textId="77777777" w:rsidR="00DA0849" w:rsidRPr="00561C14" w:rsidRDefault="00DA0849" w:rsidP="00561C14">
      <w:pPr>
        <w:tabs>
          <w:tab w:val="left" w:pos="851"/>
        </w:tabs>
        <w:spacing w:before="120" w:after="120" w:line="271" w:lineRule="auto"/>
        <w:rPr>
          <w:rFonts w:ascii="Arial" w:hAnsi="Arial" w:cs="Arial"/>
          <w:sz w:val="22"/>
          <w:szCs w:val="22"/>
        </w:rPr>
      </w:pPr>
      <w:r w:rsidRPr="00561C14">
        <w:rPr>
          <w:rFonts w:ascii="Arial" w:hAnsi="Arial" w:cs="Arial"/>
          <w:sz w:val="22"/>
          <w:szCs w:val="22"/>
        </w:rPr>
        <w:t>AE:PL-73877-35555-VRRSW-13</w:t>
      </w:r>
    </w:p>
    <w:p w14:paraId="545FA477" w14:textId="214B1605" w:rsidR="00DA0849" w:rsidRDefault="00DA0849" w:rsidP="00DA0849">
      <w:pPr>
        <w:pStyle w:val="Akapitzlist"/>
        <w:tabs>
          <w:tab w:val="left" w:pos="851"/>
        </w:tabs>
        <w:spacing w:before="120" w:after="120" w:line="271" w:lineRule="auto"/>
        <w:ind w:left="0"/>
        <w:contextualSpacing w:val="0"/>
        <w:rPr>
          <w:rFonts w:ascii="Arial" w:hAnsi="Arial" w:cs="Arial"/>
          <w:sz w:val="22"/>
          <w:szCs w:val="22"/>
        </w:rPr>
      </w:pPr>
      <w:r w:rsidRPr="00DA0849">
        <w:rPr>
          <w:rFonts w:ascii="Arial" w:hAnsi="Arial" w:cs="Arial"/>
          <w:sz w:val="22"/>
          <w:szCs w:val="22"/>
        </w:rPr>
        <w:t>lub za pomocą Elektronicznej Skrzynki Podawczej (ESP), dostępnej na Elektronicznej Platformie Usług Administracji Publicznej (</w:t>
      </w:r>
      <w:proofErr w:type="spellStart"/>
      <w:r w:rsidRPr="00DA0849">
        <w:rPr>
          <w:rFonts w:ascii="Arial" w:hAnsi="Arial" w:cs="Arial"/>
          <w:sz w:val="22"/>
          <w:szCs w:val="22"/>
        </w:rPr>
        <w:t>ePUAP</w:t>
      </w:r>
      <w:proofErr w:type="spellEnd"/>
      <w:r w:rsidRPr="00DA0849">
        <w:rPr>
          <w:rFonts w:ascii="Arial" w:hAnsi="Arial" w:cs="Arial"/>
          <w:sz w:val="22"/>
          <w:szCs w:val="22"/>
        </w:rPr>
        <w:t xml:space="preserve">) pod adresem:  </w:t>
      </w:r>
    </w:p>
    <w:p w14:paraId="203F23BA" w14:textId="77777777" w:rsidR="00DA0849" w:rsidRPr="00AA63AA" w:rsidRDefault="00DA0849" w:rsidP="004E355A">
      <w:pPr>
        <w:pStyle w:val="Akapitzlist"/>
        <w:tabs>
          <w:tab w:val="left" w:pos="851"/>
        </w:tabs>
        <w:spacing w:before="120" w:after="120" w:line="271" w:lineRule="auto"/>
        <w:ind w:left="0"/>
        <w:contextualSpacing w:val="0"/>
        <w:rPr>
          <w:rFonts w:ascii="Arial" w:hAnsi="Arial" w:cs="Arial"/>
          <w:sz w:val="22"/>
          <w:szCs w:val="22"/>
        </w:rPr>
      </w:pP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hyperlink r:id="rId20"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42A85BD6"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w:t>
      </w:r>
      <w:r w:rsidR="007F7BEE">
        <w:rPr>
          <w:rFonts w:ascii="Arial" w:hAnsi="Arial" w:cs="Arial"/>
          <w:sz w:val="22"/>
          <w:szCs w:val="22"/>
        </w:rPr>
        <w:t>,</w:t>
      </w:r>
    </w:p>
    <w:p w14:paraId="1704CE87" w14:textId="7B731409"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w:t>
      </w:r>
      <w:r w:rsidR="007F7BEE">
        <w:rPr>
          <w:rFonts w:ascii="Arial" w:hAnsi="Arial" w:cs="Arial"/>
          <w:sz w:val="22"/>
          <w:szCs w:val="22"/>
          <w:lang w:val="x-none" w:eastAsia="x-none"/>
        </w:rPr>
        <w:t xml:space="preserve">dotyczącego </w:t>
      </w:r>
      <w:r w:rsidRPr="00F65E47">
        <w:rPr>
          <w:rFonts w:ascii="Arial" w:hAnsi="Arial" w:cs="Arial"/>
          <w:sz w:val="22"/>
          <w:szCs w:val="22"/>
          <w:lang w:val="x-none" w:eastAsia="x-none"/>
        </w:rPr>
        <w:t xml:space="preserve">kwalifikowalności Wnioskodawcy stanowiącego załącznik do umowy o dofinansowanie projektu, </w:t>
      </w:r>
    </w:p>
    <w:p w14:paraId="73825581" w14:textId="6A1DB2F8"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w:t>
      </w:r>
      <w:r w:rsidR="007F7BEE">
        <w:rPr>
          <w:rFonts w:ascii="Arial" w:hAnsi="Arial" w:cs="Arial"/>
          <w:sz w:val="22"/>
          <w:szCs w:val="22"/>
          <w:lang w:val="x-none" w:eastAsia="x-none"/>
        </w:rPr>
        <w:t xml:space="preserve"> dotyczącego</w:t>
      </w:r>
      <w:r w:rsidRPr="00C627CF">
        <w:rPr>
          <w:rFonts w:ascii="Arial" w:hAnsi="Arial" w:cs="Arial"/>
          <w:sz w:val="22"/>
          <w:szCs w:val="22"/>
          <w:lang w:val="x-none" w:eastAsia="x-none"/>
        </w:rPr>
        <w:t xml:space="preserve"> kwalifikowalności Partnera/ów, stanowiącego załącznik do umowy o dofinansowanie projektu, </w:t>
      </w:r>
    </w:p>
    <w:p w14:paraId="6445E8DE" w14:textId="2BC07749" w:rsidR="007F7BEE" w:rsidRDefault="007F7BEE" w:rsidP="007F7BEE">
      <w:pPr>
        <w:pStyle w:val="Tekstpodstawowy"/>
        <w:numPr>
          <w:ilvl w:val="0"/>
          <w:numId w:val="4"/>
        </w:numPr>
        <w:spacing w:before="120" w:line="271" w:lineRule="auto"/>
        <w:ind w:left="426" w:hanging="426"/>
        <w:rPr>
          <w:rFonts w:ascii="Arial" w:hAnsi="Arial" w:cs="Arial"/>
          <w:sz w:val="22"/>
          <w:szCs w:val="22"/>
          <w:lang w:eastAsia="x-none"/>
        </w:rPr>
      </w:pPr>
      <w:r w:rsidRPr="007F7BEE">
        <w:rPr>
          <w:rFonts w:ascii="Arial" w:hAnsi="Arial" w:cs="Arial"/>
          <w:sz w:val="22"/>
          <w:szCs w:val="22"/>
          <w:lang w:eastAsia="x-none"/>
        </w:rPr>
        <w:t>pełnomocnictwa do reprezentowania wnioskodawcy – możliwe jest udzielenie przez</w:t>
      </w:r>
      <w:r>
        <w:rPr>
          <w:rFonts w:ascii="Arial" w:hAnsi="Arial" w:cs="Arial"/>
          <w:sz w:val="22"/>
          <w:szCs w:val="22"/>
          <w:lang w:eastAsia="x-none"/>
        </w:rPr>
        <w:t xml:space="preserve"> </w:t>
      </w:r>
      <w:r w:rsidRPr="007F7BEE">
        <w:rPr>
          <w:rFonts w:ascii="Arial" w:hAnsi="Arial" w:cs="Arial"/>
          <w:sz w:val="22"/>
          <w:szCs w:val="22"/>
          <w:lang w:eastAsia="x-none"/>
        </w:rPr>
        <w:t>dyrektora jednostki lub inną upoważnioną osobę, pełnomocnictwa wyznaczonemu</w:t>
      </w:r>
      <w:r>
        <w:rPr>
          <w:rFonts w:ascii="Arial" w:hAnsi="Arial" w:cs="Arial"/>
          <w:sz w:val="22"/>
          <w:szCs w:val="22"/>
          <w:lang w:eastAsia="x-none"/>
        </w:rPr>
        <w:t xml:space="preserve"> </w:t>
      </w:r>
      <w:r w:rsidRPr="007F7BEE">
        <w:rPr>
          <w:rFonts w:ascii="Arial" w:hAnsi="Arial" w:cs="Arial"/>
          <w:sz w:val="22"/>
          <w:szCs w:val="22"/>
          <w:lang w:eastAsia="x-none"/>
        </w:rPr>
        <w:t>pracownikowi jednostki do czynności związanych z realizacją projektu. Pełnomocnictwo</w:t>
      </w:r>
      <w:r>
        <w:rPr>
          <w:rFonts w:ascii="Arial" w:hAnsi="Arial" w:cs="Arial"/>
          <w:sz w:val="22"/>
          <w:szCs w:val="22"/>
          <w:lang w:eastAsia="x-none"/>
        </w:rPr>
        <w:t xml:space="preserve"> </w:t>
      </w:r>
      <w:r w:rsidRPr="00660880">
        <w:rPr>
          <w:rFonts w:ascii="Arial" w:hAnsi="Arial" w:cs="Arial"/>
          <w:sz w:val="22"/>
          <w:szCs w:val="22"/>
          <w:lang w:eastAsia="x-none"/>
        </w:rPr>
        <w:t>musi wskazywać szczegółowo do jakich czynności osoba jest upoważniona</w:t>
      </w:r>
      <w:r w:rsidR="007923C5" w:rsidRPr="00660880">
        <w:rPr>
          <w:rFonts w:ascii="Arial" w:hAnsi="Arial" w:cs="Arial"/>
          <w:sz w:val="22"/>
          <w:szCs w:val="22"/>
          <w:lang w:val="x-none" w:eastAsia="x-none"/>
        </w:rPr>
        <w:t xml:space="preserve"> -</w:t>
      </w:r>
      <w:r w:rsidR="007923C5" w:rsidRPr="00660880">
        <w:rPr>
          <w:rFonts w:ascii="Arial" w:hAnsi="Arial" w:cs="Arial"/>
          <w:sz w:val="22"/>
          <w:szCs w:val="22"/>
          <w:lang w:eastAsia="x-none"/>
        </w:rPr>
        <w:t xml:space="preserve"> stanowi załącznik nr 7.3.5, 7.3.6 do Regulaminu wyboru</w:t>
      </w:r>
      <w:r>
        <w:rPr>
          <w:rFonts w:ascii="Arial" w:hAnsi="Arial" w:cs="Arial"/>
          <w:sz w:val="22"/>
          <w:szCs w:val="22"/>
          <w:lang w:eastAsia="x-none"/>
        </w:rPr>
        <w:t>,</w:t>
      </w:r>
    </w:p>
    <w:p w14:paraId="2F593A0B" w14:textId="5DC0F2EC" w:rsidR="00011C53" w:rsidRPr="00660880" w:rsidRDefault="00011C53" w:rsidP="00011C53">
      <w:pPr>
        <w:pStyle w:val="Tekstpodstawowy"/>
        <w:numPr>
          <w:ilvl w:val="0"/>
          <w:numId w:val="4"/>
        </w:numPr>
        <w:spacing w:before="120" w:line="271" w:lineRule="auto"/>
        <w:ind w:left="426" w:hanging="426"/>
        <w:rPr>
          <w:rFonts w:ascii="Arial" w:hAnsi="Arial" w:cs="Arial"/>
          <w:sz w:val="22"/>
          <w:szCs w:val="22"/>
          <w:lang w:eastAsia="x-none"/>
        </w:rPr>
      </w:pPr>
      <w:r w:rsidRPr="00660880">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5245A5BD" w:rsidR="007923C5" w:rsidRDefault="005177A9" w:rsidP="007F7BEE">
      <w:pPr>
        <w:pStyle w:val="Tekstpodstawowy"/>
        <w:numPr>
          <w:ilvl w:val="0"/>
          <w:numId w:val="4"/>
        </w:numPr>
        <w:spacing w:before="120" w:line="271" w:lineRule="auto"/>
        <w:ind w:left="426" w:hanging="426"/>
        <w:rPr>
          <w:rFonts w:ascii="Arial" w:hAnsi="Arial" w:cs="Arial"/>
          <w:sz w:val="22"/>
          <w:szCs w:val="22"/>
        </w:rPr>
      </w:pPr>
      <w:r>
        <w:rPr>
          <w:rFonts w:ascii="Arial" w:hAnsi="Arial" w:cs="Arial"/>
          <w:sz w:val="22"/>
          <w:szCs w:val="22"/>
        </w:rPr>
        <w:t xml:space="preserve">kopia </w:t>
      </w:r>
      <w:r w:rsidR="007923C5" w:rsidRPr="00660880">
        <w:rPr>
          <w:rFonts w:ascii="Arial" w:hAnsi="Arial" w:cs="Arial"/>
          <w:sz w:val="22"/>
          <w:szCs w:val="22"/>
        </w:rPr>
        <w:t>statut</w:t>
      </w:r>
      <w:r>
        <w:rPr>
          <w:rFonts w:ascii="Arial" w:hAnsi="Arial" w:cs="Arial"/>
          <w:sz w:val="22"/>
          <w:szCs w:val="22"/>
        </w:rPr>
        <w:t>u</w:t>
      </w:r>
      <w:r w:rsidR="007923C5" w:rsidRPr="00660880">
        <w:rPr>
          <w:rFonts w:ascii="Arial" w:hAnsi="Arial" w:cs="Arial"/>
          <w:sz w:val="22"/>
          <w:szCs w:val="22"/>
        </w:rPr>
        <w:t xml:space="preserve"> lub inn</w:t>
      </w:r>
      <w:r>
        <w:rPr>
          <w:rFonts w:ascii="Arial" w:hAnsi="Arial" w:cs="Arial"/>
          <w:sz w:val="22"/>
          <w:szCs w:val="22"/>
        </w:rPr>
        <w:t>ego</w:t>
      </w:r>
      <w:r w:rsidR="007923C5" w:rsidRPr="00660880">
        <w:rPr>
          <w:rFonts w:ascii="Arial" w:hAnsi="Arial" w:cs="Arial"/>
          <w:sz w:val="22"/>
          <w:szCs w:val="22"/>
        </w:rPr>
        <w:t xml:space="preserve"> dokument</w:t>
      </w:r>
      <w:r>
        <w:rPr>
          <w:rFonts w:ascii="Arial" w:hAnsi="Arial" w:cs="Arial"/>
          <w:sz w:val="22"/>
          <w:szCs w:val="22"/>
        </w:rPr>
        <w:t>u</w:t>
      </w:r>
      <w:r w:rsidR="007923C5" w:rsidRPr="00660880">
        <w:rPr>
          <w:rFonts w:ascii="Arial" w:hAnsi="Arial" w:cs="Arial"/>
          <w:sz w:val="22"/>
          <w:szCs w:val="22"/>
        </w:rPr>
        <w:t xml:space="preserve"> stanowiąc</w:t>
      </w:r>
      <w:r>
        <w:rPr>
          <w:rFonts w:ascii="Arial" w:hAnsi="Arial" w:cs="Arial"/>
          <w:sz w:val="22"/>
          <w:szCs w:val="22"/>
        </w:rPr>
        <w:t>ego</w:t>
      </w:r>
      <w:r w:rsidR="007923C5" w:rsidRPr="00660880">
        <w:rPr>
          <w:rFonts w:ascii="Arial" w:hAnsi="Arial" w:cs="Arial"/>
          <w:sz w:val="22"/>
          <w:szCs w:val="22"/>
        </w:rPr>
        <w:t xml:space="preserve"> podstawę prawną działalności wnioskodawcy potwierdzon</w:t>
      </w:r>
      <w:r>
        <w:rPr>
          <w:rFonts w:ascii="Arial" w:hAnsi="Arial" w:cs="Arial"/>
          <w:sz w:val="22"/>
          <w:szCs w:val="22"/>
        </w:rPr>
        <w:t>a</w:t>
      </w:r>
      <w:r w:rsidR="007923C5" w:rsidRPr="00660880">
        <w:rPr>
          <w:rFonts w:ascii="Arial" w:hAnsi="Arial" w:cs="Arial"/>
          <w:sz w:val="22"/>
          <w:szCs w:val="22"/>
        </w:rPr>
        <w:t xml:space="preserve"> za zgodność z oryginałem – w przypadku JST właściwym </w:t>
      </w:r>
      <w:r w:rsidR="007923C5" w:rsidRPr="00660880">
        <w:rPr>
          <w:rFonts w:ascii="Arial" w:hAnsi="Arial" w:cs="Arial"/>
          <w:sz w:val="22"/>
          <w:szCs w:val="22"/>
        </w:rPr>
        <w:lastRenderedPageBreak/>
        <w:t>dokumentem jest zaświadczenie o wyborze burmistrza, starosty itp. wraz z ewentualnymi dalszymi pełnomocnictwami</w:t>
      </w:r>
      <w:r w:rsidR="007923C5" w:rsidRPr="00660880">
        <w:rPr>
          <w:rFonts w:ascii="Arial" w:hAnsi="Arial" w:cs="Arial"/>
          <w:sz w:val="22"/>
          <w:szCs w:val="22"/>
          <w:vertAlign w:val="superscript"/>
        </w:rPr>
        <w:footnoteReference w:id="9"/>
      </w:r>
      <w:r w:rsidR="007923C5" w:rsidRPr="00660880">
        <w:rPr>
          <w:rFonts w:ascii="Arial" w:hAnsi="Arial" w:cs="Arial"/>
          <w:sz w:val="22"/>
          <w:szCs w:val="22"/>
        </w:rPr>
        <w:t>,</w:t>
      </w:r>
    </w:p>
    <w:p w14:paraId="3E8AE3F9" w14:textId="097E8414" w:rsidR="007923C5" w:rsidRPr="00660880" w:rsidRDefault="007923C5" w:rsidP="00660880">
      <w:pPr>
        <w:pStyle w:val="Tekstpodstawowy"/>
        <w:numPr>
          <w:ilvl w:val="0"/>
          <w:numId w:val="4"/>
        </w:numPr>
        <w:spacing w:before="120" w:line="271" w:lineRule="auto"/>
        <w:ind w:left="426" w:hanging="426"/>
        <w:rPr>
          <w:rFonts w:ascii="Arial" w:hAnsi="Arial" w:cs="Arial"/>
          <w:sz w:val="22"/>
          <w:szCs w:val="22"/>
          <w:lang w:val="x-none" w:eastAsia="x-none"/>
        </w:rPr>
      </w:pPr>
      <w:r w:rsidRPr="00660880">
        <w:rPr>
          <w:rFonts w:ascii="Arial" w:hAnsi="Arial" w:cs="Arial"/>
          <w:sz w:val="22"/>
          <w:szCs w:val="22"/>
          <w:lang w:eastAsia="x-none"/>
        </w:rPr>
        <w:t>Umowę</w:t>
      </w:r>
      <w:r w:rsidRPr="00660880">
        <w:rPr>
          <w:rFonts w:ascii="Arial" w:hAnsi="Arial" w:cs="Arial"/>
          <w:sz w:val="22"/>
          <w:szCs w:val="22"/>
          <w:lang w:val="x-none" w:eastAsia="x-none"/>
        </w:rPr>
        <w:t xml:space="preserve"> partnersk</w:t>
      </w:r>
      <w:r w:rsidRPr="00660880">
        <w:rPr>
          <w:rFonts w:ascii="Arial" w:hAnsi="Arial" w:cs="Arial"/>
          <w:sz w:val="22"/>
          <w:szCs w:val="22"/>
          <w:lang w:eastAsia="x-none"/>
        </w:rPr>
        <w:t>ą</w:t>
      </w:r>
      <w:r w:rsidRPr="00660880">
        <w:rPr>
          <w:rFonts w:ascii="Arial" w:hAnsi="Arial" w:cs="Arial"/>
          <w:sz w:val="22"/>
          <w:szCs w:val="22"/>
          <w:lang w:val="x-none" w:eastAsia="x-none"/>
        </w:rPr>
        <w:t xml:space="preserve"> lub porozumieni</w:t>
      </w:r>
      <w:r w:rsidRPr="00660880">
        <w:rPr>
          <w:rFonts w:ascii="Arial" w:hAnsi="Arial" w:cs="Arial"/>
          <w:sz w:val="22"/>
          <w:szCs w:val="22"/>
          <w:lang w:eastAsia="x-none"/>
        </w:rPr>
        <w:t>e</w:t>
      </w:r>
      <w:r w:rsidRPr="00660880">
        <w:rPr>
          <w:rFonts w:ascii="Arial" w:hAnsi="Arial" w:cs="Arial"/>
          <w:sz w:val="22"/>
          <w:szCs w:val="22"/>
          <w:lang w:val="x-none" w:eastAsia="x-none"/>
        </w:rPr>
        <w:t>, podpisan</w:t>
      </w:r>
      <w:r w:rsidRPr="00660880">
        <w:rPr>
          <w:rFonts w:ascii="Arial" w:hAnsi="Arial" w:cs="Arial"/>
          <w:sz w:val="22"/>
          <w:szCs w:val="22"/>
          <w:lang w:eastAsia="x-none"/>
        </w:rPr>
        <w:t>ą</w:t>
      </w:r>
      <w:r w:rsidRPr="00660880">
        <w:rPr>
          <w:rFonts w:ascii="Arial" w:hAnsi="Arial" w:cs="Arial"/>
          <w:sz w:val="22"/>
          <w:szCs w:val="22"/>
          <w:lang w:val="x-none" w:eastAsia="x-none"/>
        </w:rPr>
        <w:t>/e przez strony, zawart</w:t>
      </w:r>
      <w:r w:rsidRPr="00660880">
        <w:rPr>
          <w:rFonts w:ascii="Arial" w:hAnsi="Arial" w:cs="Arial"/>
          <w:sz w:val="22"/>
          <w:szCs w:val="22"/>
          <w:lang w:eastAsia="x-none"/>
        </w:rPr>
        <w:t>ą</w:t>
      </w:r>
      <w:r w:rsidRPr="00660880">
        <w:rPr>
          <w:rFonts w:ascii="Arial" w:hAnsi="Arial" w:cs="Arial"/>
          <w:sz w:val="22"/>
          <w:szCs w:val="22"/>
          <w:lang w:val="x-none" w:eastAsia="x-none"/>
        </w:rPr>
        <w:t>/e zgodnie z zasadami określonymi w części 3.</w:t>
      </w:r>
      <w:r w:rsidRPr="00660880">
        <w:rPr>
          <w:rFonts w:ascii="Arial" w:hAnsi="Arial" w:cs="Arial"/>
          <w:sz w:val="22"/>
          <w:szCs w:val="22"/>
          <w:lang w:eastAsia="x-none"/>
        </w:rPr>
        <w:t>5</w:t>
      </w:r>
      <w:r w:rsidRPr="00660880">
        <w:rPr>
          <w:rFonts w:ascii="Arial" w:hAnsi="Arial" w:cs="Arial"/>
          <w:sz w:val="22"/>
          <w:szCs w:val="22"/>
          <w:lang w:val="x-none" w:eastAsia="x-none"/>
        </w:rPr>
        <w:t xml:space="preserve"> niniejszego Regulaminu </w:t>
      </w:r>
      <w:r w:rsidRPr="00660880">
        <w:rPr>
          <w:rFonts w:ascii="Arial" w:hAnsi="Arial" w:cs="Arial"/>
          <w:sz w:val="22"/>
          <w:szCs w:val="22"/>
          <w:lang w:eastAsia="x-none"/>
        </w:rPr>
        <w:t>wyboru oraz do</w:t>
      </w:r>
      <w:proofErr w:type="spellStart"/>
      <w:r w:rsidRPr="00660880">
        <w:rPr>
          <w:rFonts w:ascii="Arial" w:hAnsi="Arial" w:cs="Arial"/>
          <w:sz w:val="22"/>
          <w:szCs w:val="22"/>
          <w:lang w:val="x-none" w:eastAsia="x-none"/>
        </w:rPr>
        <w:t>kument</w:t>
      </w:r>
      <w:r w:rsidRPr="00660880">
        <w:rPr>
          <w:rFonts w:ascii="Arial" w:hAnsi="Arial" w:cs="Arial"/>
          <w:sz w:val="22"/>
          <w:szCs w:val="22"/>
          <w:lang w:eastAsia="x-none"/>
        </w:rPr>
        <w:t>y</w:t>
      </w:r>
      <w:proofErr w:type="spellEnd"/>
      <w:r w:rsidRPr="00660880">
        <w:rPr>
          <w:rFonts w:ascii="Arial" w:hAnsi="Arial" w:cs="Arial"/>
          <w:sz w:val="22"/>
          <w:szCs w:val="22"/>
          <w:lang w:val="x-none" w:eastAsia="x-none"/>
        </w:rPr>
        <w:t>, potwierdzające zastosowanie procedur  zgodnie z pkt. 3.5.</w:t>
      </w:r>
      <w:r w:rsidR="00F65E47" w:rsidRPr="00660880">
        <w:rPr>
          <w:rFonts w:ascii="Arial" w:hAnsi="Arial" w:cs="Arial"/>
          <w:sz w:val="22"/>
          <w:szCs w:val="22"/>
          <w:lang w:val="x-none" w:eastAsia="x-none"/>
        </w:rPr>
        <w:t>9</w:t>
      </w:r>
      <w:r w:rsidRPr="00660880">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1A16C98B"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r w:rsidR="007F7BEE">
        <w:rPr>
          <w:rFonts w:ascii="Arial" w:hAnsi="Arial" w:cs="Arial"/>
          <w:sz w:val="22"/>
          <w:szCs w:val="22"/>
          <w:lang w:eastAsia="x-none"/>
        </w:rPr>
        <w:t xml:space="preserve"> </w:t>
      </w:r>
      <w:r w:rsidR="007F7BEE" w:rsidRPr="007F7BEE">
        <w:rPr>
          <w:rFonts w:ascii="Arial" w:hAnsi="Arial" w:cs="Arial"/>
          <w:sz w:val="22"/>
          <w:szCs w:val="22"/>
          <w:lang w:eastAsia="x-none"/>
        </w:rPr>
        <w:t>(załącznik nie jest wymagany od JST),</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660880"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04D4CE26" w14:textId="3EC3B133" w:rsidR="007F7BEE" w:rsidRPr="007F7BEE" w:rsidRDefault="007F7BEE" w:rsidP="007F7BEE">
      <w:pPr>
        <w:numPr>
          <w:ilvl w:val="0"/>
          <w:numId w:val="40"/>
        </w:numPr>
        <w:autoSpaceDE w:val="0"/>
        <w:autoSpaceDN w:val="0"/>
        <w:adjustRightInd w:val="0"/>
        <w:spacing w:before="120" w:after="120" w:line="271" w:lineRule="auto"/>
        <w:rPr>
          <w:rFonts w:ascii="Arial" w:hAnsi="Arial" w:cs="Arial"/>
          <w:sz w:val="22"/>
          <w:szCs w:val="22"/>
        </w:rPr>
      </w:pPr>
      <w:r w:rsidRPr="007F7BEE">
        <w:rPr>
          <w:rFonts w:ascii="Arial" w:hAnsi="Arial" w:cs="Arial"/>
          <w:sz w:val="22"/>
          <w:szCs w:val="22"/>
        </w:rPr>
        <w:lastRenderedPageBreak/>
        <w:t>deklaracja wydatków majątkowych – stanowiąca załącznik do umowy o</w:t>
      </w:r>
      <w:r>
        <w:rPr>
          <w:rFonts w:ascii="Arial" w:hAnsi="Arial" w:cs="Arial"/>
          <w:sz w:val="22"/>
          <w:szCs w:val="22"/>
        </w:rPr>
        <w:t xml:space="preserve"> </w:t>
      </w:r>
      <w:r w:rsidRPr="007F7BEE">
        <w:rPr>
          <w:rFonts w:ascii="Arial" w:hAnsi="Arial" w:cs="Arial"/>
          <w:sz w:val="22"/>
          <w:szCs w:val="22"/>
        </w:rPr>
        <w:t>dofinansowanie/u projektu (załącznik wymagany, o ile w rekomendowanym</w:t>
      </w:r>
      <w:r>
        <w:rPr>
          <w:rFonts w:ascii="Arial" w:hAnsi="Arial" w:cs="Arial"/>
          <w:sz w:val="22"/>
          <w:szCs w:val="22"/>
        </w:rPr>
        <w:t xml:space="preserve"> </w:t>
      </w:r>
      <w:r w:rsidRPr="007F7BEE">
        <w:rPr>
          <w:rFonts w:ascii="Arial" w:hAnsi="Arial" w:cs="Arial"/>
          <w:sz w:val="22"/>
          <w:szCs w:val="22"/>
        </w:rPr>
        <w:t>do dofinansowania projekcie występują wydatki majątkowe),</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2946F6C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2B34EA">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C7BC4A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DA0849">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487DC504"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DA0849">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660880" w:rsidRDefault="00F17212" w:rsidP="00F17212">
      <w:pPr>
        <w:spacing w:before="120" w:after="120" w:line="271" w:lineRule="auto"/>
        <w:contextualSpacing/>
        <w:rPr>
          <w:rFonts w:ascii="Arial" w:hAnsi="Arial" w:cs="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sidRPr="00660880">
        <w:rPr>
          <w:rFonts w:ascii="Arial" w:hAnsi="Arial" w:cs="Arial"/>
          <w:sz w:val="22"/>
          <w:szCs w:val="22"/>
        </w:rPr>
        <w:t xml:space="preserve">Szkolenia realizowane w ramach projektu nie </w:t>
      </w:r>
      <w:r w:rsidRPr="00D061A3">
        <w:rPr>
          <w:rFonts w:ascii="Arial" w:hAnsi="Arial" w:cs="Arial"/>
          <w:sz w:val="22"/>
          <w:szCs w:val="22"/>
        </w:rPr>
        <w:t>będą powielać wsparcia realizowanego</w:t>
      </w:r>
    </w:p>
    <w:p w14:paraId="32854CB6" w14:textId="77777777" w:rsidR="00F17212" w:rsidRPr="00D061A3" w:rsidRDefault="00F17212" w:rsidP="00F17212">
      <w:pPr>
        <w:autoSpaceDE w:val="0"/>
        <w:autoSpaceDN w:val="0"/>
        <w:adjustRightInd w:val="0"/>
        <w:rPr>
          <w:rFonts w:ascii="Arial" w:hAnsi="Arial" w:cs="Arial"/>
          <w:sz w:val="22"/>
          <w:szCs w:val="22"/>
        </w:rPr>
      </w:pPr>
      <w:r w:rsidRPr="00D061A3">
        <w:rPr>
          <w:rFonts w:ascii="Arial" w:hAnsi="Arial" w:cs="Arial"/>
          <w:sz w:val="22"/>
          <w:szCs w:val="22"/>
        </w:rPr>
        <w:lastRenderedPageBreak/>
        <w:t>ze środków publicznych na poziomie krajowym w ramach programu Fundusze</w:t>
      </w:r>
    </w:p>
    <w:p w14:paraId="3EDCB30A" w14:textId="77777777" w:rsidR="00F17212" w:rsidRPr="00660880" w:rsidRDefault="00F17212" w:rsidP="00F17212">
      <w:pPr>
        <w:spacing w:before="120" w:after="120" w:line="271" w:lineRule="auto"/>
        <w:contextualSpacing/>
        <w:rPr>
          <w:rFonts w:ascii="Arial" w:hAnsi="Arial" w:cs="Arial"/>
          <w:sz w:val="22"/>
          <w:szCs w:val="22"/>
        </w:rPr>
      </w:pPr>
      <w:r w:rsidRPr="00D061A3">
        <w:rPr>
          <w:rFonts w:ascii="Arial" w:hAnsi="Arial" w:cs="Arial"/>
          <w:sz w:val="22"/>
          <w:szCs w:val="22"/>
        </w:rPr>
        <w:t>Europejskie dla Rozwoju Społecznego 2021</w:t>
      </w:r>
      <w:r w:rsidRPr="00660880">
        <w:rPr>
          <w:rFonts w:ascii="Arial" w:hAnsi="Arial" w:cs="Arial"/>
          <w:sz w:val="22"/>
          <w:szCs w:val="22"/>
        </w:rPr>
        <w:t xml:space="preserve">-2027 (FERS) </w:t>
      </w:r>
      <w:r w:rsidRPr="00D061A3">
        <w:rPr>
          <w:rFonts w:ascii="Arial" w:hAnsi="Arial" w:cs="Arial"/>
          <w:sz w:val="22"/>
          <w:szCs w:val="22"/>
        </w:rPr>
        <w:t>oraz z innych źródeł</w:t>
      </w:r>
      <w:r w:rsidRPr="00660880">
        <w:rPr>
          <w:rFonts w:ascii="Arial" w:hAnsi="Arial" w:cs="Arial"/>
          <w:sz w:val="22"/>
          <w:szCs w:val="22"/>
        </w:rPr>
        <w:t>.</w:t>
      </w:r>
    </w:p>
    <w:p w14:paraId="33CD6711" w14:textId="77777777" w:rsidR="00F17212" w:rsidRPr="00660880" w:rsidRDefault="00F17212" w:rsidP="00F17212">
      <w:pPr>
        <w:autoSpaceDE w:val="0"/>
        <w:autoSpaceDN w:val="0"/>
        <w:adjustRightInd w:val="0"/>
        <w:rPr>
          <w:rFonts w:ascii="Arial" w:hAnsi="Arial" w:cs="Arial"/>
          <w:sz w:val="22"/>
          <w:szCs w:val="22"/>
        </w:rPr>
      </w:pPr>
    </w:p>
    <w:p w14:paraId="69F7C83F" w14:textId="09CC0B1B" w:rsidR="00F17212" w:rsidRPr="00D061A3"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2</w:t>
      </w:r>
      <w:r w:rsidR="0083440D" w:rsidRPr="00660880">
        <w:rPr>
          <w:rFonts w:ascii="Arial" w:hAnsi="Arial" w:cs="Arial"/>
          <w:sz w:val="22"/>
          <w:szCs w:val="22"/>
        </w:rPr>
        <w:t>8</w:t>
      </w:r>
      <w:r w:rsidRPr="00660880">
        <w:rPr>
          <w:rFonts w:ascii="Arial" w:hAnsi="Arial" w:cs="Arial"/>
          <w:sz w:val="22"/>
          <w:szCs w:val="22"/>
        </w:rPr>
        <w:t xml:space="preserve">. </w:t>
      </w:r>
      <w:r w:rsidRPr="00D061A3">
        <w:rPr>
          <w:rFonts w:ascii="Arial" w:hAnsi="Arial" w:cs="Arial"/>
          <w:sz w:val="22"/>
          <w:szCs w:val="22"/>
        </w:rPr>
        <w:t>Beneficjent zobowiązuje się, iż w trakcie realizacji projektu (zadań przewidzianych</w:t>
      </w:r>
    </w:p>
    <w:p w14:paraId="61CA0741"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 realizacji oraz wydatków przewidzianych do poniesienia w ramach projektu) nie</w:t>
      </w:r>
    </w:p>
    <w:p w14:paraId="1E8537CF"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dojdzie do podwójnego finansowania wydatków w rozumieniu Wytycznych</w:t>
      </w:r>
    </w:p>
    <w:p w14:paraId="77BAC8F4" w14:textId="77777777" w:rsidR="00F17212" w:rsidRPr="00660880"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dotyczących kwalifikowalności wydatków na lata 2021</w:t>
      </w:r>
      <w:r w:rsidRPr="00660880">
        <w:rPr>
          <w:rFonts w:ascii="Arial" w:hAnsi="Arial" w:cs="Arial"/>
          <w:sz w:val="22"/>
          <w:szCs w:val="22"/>
        </w:rPr>
        <w:t>-2027 oraz zadania</w:t>
      </w:r>
    </w:p>
    <w:p w14:paraId="53BC20CA" w14:textId="77777777" w:rsidR="00F17212" w:rsidRPr="00660880"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przewidziane do realizacji i wydatki przewidziane do poniesienia w ramach projektu</w:t>
      </w:r>
    </w:p>
    <w:p w14:paraId="7342D1CD"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nie będą współfinansowane z innych wspólnotowych instrumentów finansowych, w</w:t>
      </w:r>
    </w:p>
    <w:p w14:paraId="65779F4E" w14:textId="57438FDD" w:rsidR="00F17212" w:rsidRPr="00660880" w:rsidRDefault="00F17212" w:rsidP="009A0E53">
      <w:pPr>
        <w:spacing w:before="120" w:after="120" w:line="276" w:lineRule="auto"/>
        <w:contextualSpacing/>
        <w:rPr>
          <w:rFonts w:ascii="Arial" w:hAnsi="Arial" w:cs="Arial"/>
          <w:sz w:val="22"/>
          <w:szCs w:val="22"/>
        </w:rPr>
      </w:pPr>
      <w:r w:rsidRPr="00660880">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088EFF4C" w14:textId="77777777" w:rsidR="00646E5C" w:rsidRDefault="00646E5C" w:rsidP="005008F9">
      <w:pPr>
        <w:spacing w:before="120" w:after="120" w:line="271" w:lineRule="auto"/>
        <w:contextualSpacing/>
        <w:rPr>
          <w:rFonts w:ascii="Arial" w:hAnsi="Arial" w:cs="Arial"/>
          <w:sz w:val="22"/>
          <w:szCs w:val="22"/>
        </w:rPr>
      </w:pPr>
    </w:p>
    <w:p w14:paraId="78669AD2" w14:textId="0F729EA4" w:rsidR="00646E5C" w:rsidRDefault="00646E5C" w:rsidP="005008F9">
      <w:pPr>
        <w:spacing w:before="120" w:after="120" w:line="271" w:lineRule="auto"/>
        <w:contextualSpacing/>
        <w:rPr>
          <w:rFonts w:ascii="Arial" w:hAnsi="Arial" w:cs="Arial"/>
          <w:sz w:val="22"/>
          <w:szCs w:val="22"/>
        </w:rPr>
      </w:pPr>
      <w:r>
        <w:rPr>
          <w:rFonts w:ascii="Arial" w:hAnsi="Arial" w:cs="Arial"/>
          <w:sz w:val="22"/>
          <w:szCs w:val="22"/>
        </w:rPr>
        <w:t xml:space="preserve">31. </w:t>
      </w:r>
      <w:r w:rsidRPr="00646E5C">
        <w:rPr>
          <w:rFonts w:ascii="Arial" w:hAnsi="Arial" w:cs="Arial"/>
          <w:sz w:val="22"/>
          <w:szCs w:val="22"/>
        </w:rPr>
        <w:t>W przypadku realizacji wsparcia w mieszkaniach z usługami/ze wsparciem, minimalny standard tych usług realizowany jest zgodnie z załącznikiem nr 7.19 do Regulaminu wyboru projektów.</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xml:space="preserve">. W zakresie profilaktyki możliwe są do realizacji np. działania dotyczące informowania o dostępnych programach profilaktycznych, zachęcające i wspierające </w:t>
      </w:r>
      <w:r w:rsidRPr="0072233B">
        <w:rPr>
          <w:rFonts w:ascii="Arial" w:hAnsi="Arial" w:cs="Arial"/>
          <w:color w:val="000000"/>
          <w:sz w:val="22"/>
          <w:szCs w:val="22"/>
          <w:lang w:eastAsia="x-none"/>
        </w:rPr>
        <w:lastRenderedPageBreak/>
        <w:t>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6" w:name="_Toc34639895"/>
      <w:bookmarkStart w:id="1187" w:name="_Toc135074557"/>
      <w:bookmarkStart w:id="1188" w:name="_Toc15352676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59C8F3FC" w:rsidR="00EF5F31" w:rsidRPr="00AC7E57"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C7E57">
        <w:rPr>
          <w:rFonts w:ascii="Arial" w:hAnsi="Arial" w:cs="Arial"/>
          <w:sz w:val="22"/>
          <w:szCs w:val="22"/>
        </w:rPr>
        <w:t xml:space="preserve">na </w:t>
      </w:r>
      <w:r w:rsidR="00D731A3" w:rsidRPr="002D39E6">
        <w:rPr>
          <w:rFonts w:ascii="Arial" w:hAnsi="Arial" w:cs="Arial"/>
          <w:b/>
          <w:bCs/>
          <w:sz w:val="22"/>
          <w:szCs w:val="22"/>
        </w:rPr>
        <w:t>2</w:t>
      </w:r>
      <w:r w:rsidR="008E565C">
        <w:rPr>
          <w:rFonts w:ascii="Arial" w:hAnsi="Arial" w:cs="Arial"/>
          <w:b/>
          <w:bCs/>
          <w:sz w:val="22"/>
          <w:szCs w:val="22"/>
        </w:rPr>
        <w:t>7</w:t>
      </w:r>
      <w:r w:rsidR="005D3563" w:rsidRPr="002D39E6">
        <w:rPr>
          <w:rFonts w:ascii="Arial" w:hAnsi="Arial" w:cs="Arial"/>
          <w:b/>
          <w:bCs/>
          <w:sz w:val="22"/>
          <w:szCs w:val="22"/>
        </w:rPr>
        <w:t>.0</w:t>
      </w:r>
      <w:r w:rsidR="008E565C">
        <w:rPr>
          <w:rFonts w:ascii="Arial" w:hAnsi="Arial" w:cs="Arial"/>
          <w:b/>
          <w:bCs/>
          <w:sz w:val="22"/>
          <w:szCs w:val="22"/>
        </w:rPr>
        <w:t>2</w:t>
      </w:r>
      <w:r w:rsidR="005D3563" w:rsidRPr="002D39E6">
        <w:rPr>
          <w:rFonts w:ascii="Arial" w:hAnsi="Arial" w:cs="Arial"/>
          <w:b/>
          <w:bCs/>
          <w:sz w:val="22"/>
          <w:szCs w:val="22"/>
        </w:rPr>
        <w:t>.202</w:t>
      </w:r>
      <w:r w:rsidR="008E565C">
        <w:rPr>
          <w:rFonts w:ascii="Arial" w:hAnsi="Arial" w:cs="Arial"/>
          <w:b/>
          <w:bCs/>
          <w:sz w:val="22"/>
          <w:szCs w:val="22"/>
        </w:rPr>
        <w:t>6</w:t>
      </w:r>
      <w:r w:rsidR="005D3563" w:rsidRPr="002D39E6">
        <w:rPr>
          <w:rFonts w:ascii="Arial" w:hAnsi="Arial" w:cs="Arial"/>
          <w:b/>
          <w:bCs/>
          <w:sz w:val="22"/>
          <w:szCs w:val="22"/>
        </w:rPr>
        <w:t xml:space="preserve"> r.</w:t>
      </w:r>
      <w:r w:rsidR="005D3563" w:rsidRPr="00AC7E57">
        <w:rPr>
          <w:rFonts w:ascii="Arial" w:hAnsi="Arial" w:cs="Arial"/>
          <w:sz w:val="22"/>
          <w:szCs w:val="22"/>
        </w:rPr>
        <w:t xml:space="preserve"> </w:t>
      </w:r>
      <w:r w:rsidR="00EF5F31" w:rsidRPr="00AC7E57">
        <w:rPr>
          <w:rFonts w:ascii="Arial" w:hAnsi="Arial" w:cs="Arial"/>
          <w:sz w:val="22"/>
          <w:szCs w:val="22"/>
        </w:rPr>
        <w:t>Termin ten dotyczy maksymalnego czasu oceny wniosków złożonych w ostatnim dniu naboru.</w:t>
      </w:r>
    </w:p>
    <w:p w14:paraId="229F463A" w14:textId="7265F59A" w:rsidR="00A55D15" w:rsidRPr="00A55D15" w:rsidRDefault="00A55D15" w:rsidP="00A55D15">
      <w:pPr>
        <w:spacing w:before="120" w:after="120" w:line="271" w:lineRule="auto"/>
        <w:rPr>
          <w:rFonts w:ascii="Arial" w:hAnsi="Arial" w:cs="Arial"/>
          <w:sz w:val="22"/>
          <w:szCs w:val="22"/>
        </w:rPr>
      </w:pPr>
      <w:r w:rsidRPr="00AC7E57">
        <w:rPr>
          <w:rFonts w:ascii="Arial" w:hAnsi="Arial" w:cs="Arial"/>
          <w:sz w:val="22"/>
          <w:szCs w:val="22"/>
        </w:rPr>
        <w:t>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w:t>
      </w:r>
      <w:r w:rsidR="00D731A3" w:rsidRPr="00AC7E57">
        <w:rPr>
          <w:rFonts w:ascii="Arial" w:hAnsi="Arial" w:cs="Arial"/>
          <w:sz w:val="22"/>
          <w:szCs w:val="22"/>
        </w:rPr>
        <w:t xml:space="preserve"> na </w:t>
      </w:r>
      <w:r w:rsidR="00D731A3" w:rsidRPr="002D39E6">
        <w:rPr>
          <w:rFonts w:ascii="Arial" w:hAnsi="Arial" w:cs="Arial"/>
          <w:b/>
          <w:bCs/>
          <w:sz w:val="22"/>
          <w:szCs w:val="22"/>
        </w:rPr>
        <w:t>1</w:t>
      </w:r>
      <w:r w:rsidR="008E565C">
        <w:rPr>
          <w:rFonts w:ascii="Arial" w:hAnsi="Arial" w:cs="Arial"/>
          <w:b/>
          <w:bCs/>
          <w:sz w:val="22"/>
          <w:szCs w:val="22"/>
        </w:rPr>
        <w:t>9</w:t>
      </w:r>
      <w:r w:rsidR="00D731A3" w:rsidRPr="002D39E6">
        <w:rPr>
          <w:rFonts w:ascii="Arial" w:hAnsi="Arial" w:cs="Arial"/>
          <w:b/>
          <w:bCs/>
          <w:sz w:val="22"/>
          <w:szCs w:val="22"/>
        </w:rPr>
        <w:t>.0</w:t>
      </w:r>
      <w:r w:rsidR="008E565C">
        <w:rPr>
          <w:rFonts w:ascii="Arial" w:hAnsi="Arial" w:cs="Arial"/>
          <w:b/>
          <w:bCs/>
          <w:sz w:val="22"/>
          <w:szCs w:val="22"/>
        </w:rPr>
        <w:t>3</w:t>
      </w:r>
      <w:r w:rsidR="00D731A3" w:rsidRPr="002D39E6">
        <w:rPr>
          <w:rFonts w:ascii="Arial" w:hAnsi="Arial" w:cs="Arial"/>
          <w:b/>
          <w:bCs/>
          <w:sz w:val="22"/>
          <w:szCs w:val="22"/>
        </w:rPr>
        <w:t>.202</w:t>
      </w:r>
      <w:r w:rsidR="008E565C">
        <w:rPr>
          <w:rFonts w:ascii="Arial" w:hAnsi="Arial" w:cs="Arial"/>
          <w:b/>
          <w:bCs/>
          <w:sz w:val="22"/>
          <w:szCs w:val="22"/>
        </w:rPr>
        <w:t>6</w:t>
      </w:r>
      <w:r w:rsidRPr="002D39E6">
        <w:rPr>
          <w:rFonts w:ascii="Arial" w:hAnsi="Arial" w:cs="Arial"/>
          <w:b/>
          <w:bCs/>
          <w:sz w:val="22"/>
          <w:szCs w:val="22"/>
        </w:rPr>
        <w:t>.</w:t>
      </w:r>
      <w:r w:rsidRPr="00AC7E57">
        <w:rPr>
          <w:rFonts w:ascii="Arial" w:hAnsi="Arial" w:cs="Arial"/>
          <w:sz w:val="22"/>
          <w:szCs w:val="22"/>
        </w:rPr>
        <w:t xml:space="preserve"> Termin ten dotyczy maksymalnego</w:t>
      </w:r>
      <w:r w:rsidRPr="00A55D15">
        <w:rPr>
          <w:rFonts w:ascii="Arial" w:hAnsi="Arial" w:cs="Arial"/>
          <w:sz w:val="22"/>
          <w:szCs w:val="22"/>
        </w:rPr>
        <w:t xml:space="preserve">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lastRenderedPageBreak/>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2ADE1A1C" w:rsidR="001A321D" w:rsidRPr="002B34EA" w:rsidRDefault="002B34EA" w:rsidP="000351E3">
      <w:pPr>
        <w:pStyle w:val="Nagwek1"/>
        <w:numPr>
          <w:ilvl w:val="1"/>
          <w:numId w:val="24"/>
        </w:numPr>
        <w:shd w:val="clear" w:color="auto" w:fill="FFFFFF"/>
        <w:rPr>
          <w:rFonts w:ascii="Arial" w:hAnsi="Arial" w:cs="Arial"/>
          <w:b w:val="0"/>
          <w:sz w:val="22"/>
          <w:szCs w:val="22"/>
          <w:lang w:val="x-none"/>
        </w:rPr>
      </w:pPr>
      <w:bookmarkStart w:id="1236" w:name="_Toc153526774"/>
      <w:r w:rsidRPr="00660880">
        <w:rPr>
          <w:rFonts w:ascii="Arial" w:eastAsia="Calibri" w:hAnsi="Arial" w:cs="Arial"/>
          <w:b w:val="0"/>
          <w:bCs w:val="0"/>
          <w:kern w:val="0"/>
          <w:sz w:val="22"/>
          <w:szCs w:val="22"/>
          <w:lang w:eastAsia="en-US"/>
        </w:rPr>
        <w:t>Wzór oświadczenia dotyczącego kwalifikowalności wnioskodawcy</w:t>
      </w:r>
      <w:bookmarkEnd w:id="1236"/>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58623710" w:rsidR="000351E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11E5E4DD" w14:textId="260CE4C0" w:rsidR="00011C53" w:rsidRPr="00011C53" w:rsidRDefault="00011C53" w:rsidP="00011C53">
      <w:pPr>
        <w:pStyle w:val="Nagwek1"/>
        <w:numPr>
          <w:ilvl w:val="2"/>
          <w:numId w:val="24"/>
        </w:numPr>
        <w:shd w:val="clear" w:color="auto" w:fill="FFFFFF"/>
        <w:rPr>
          <w:rFonts w:ascii="Arial" w:hAnsi="Arial" w:cs="Arial"/>
          <w:b w:val="0"/>
          <w:sz w:val="22"/>
          <w:szCs w:val="22"/>
          <w:lang w:val="x-none"/>
        </w:rPr>
      </w:pPr>
      <w:r w:rsidRPr="00011C53">
        <w:rPr>
          <w:rFonts w:ascii="Arial" w:hAnsi="Arial" w:cs="Arial"/>
          <w:b w:val="0"/>
          <w:sz w:val="22"/>
          <w:szCs w:val="22"/>
          <w:lang w:val="x-none"/>
        </w:rPr>
        <w:t>Wzór Pełnomocnictwa do podpisania umowy o dofinansowanie projektu w imieniu i na rzecz Partnera</w:t>
      </w:r>
    </w:p>
    <w:p w14:paraId="7AAF25B0" w14:textId="77777777" w:rsidR="00011C53" w:rsidRPr="00660880" w:rsidRDefault="00011C53" w:rsidP="00660880">
      <w:pPr>
        <w:rPr>
          <w:b/>
          <w:lang w:val="x-none"/>
        </w:rPr>
      </w:pPr>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lastRenderedPageBreak/>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50F3B1D0"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 </w:t>
      </w:r>
      <w:r w:rsidR="00462A3F">
        <w:rPr>
          <w:rFonts w:ascii="Arial" w:hAnsi="Arial" w:cs="Arial"/>
          <w:b w:val="0"/>
          <w:sz w:val="22"/>
          <w:szCs w:val="22"/>
        </w:rPr>
        <w:t>K</w:t>
      </w:r>
      <w:r w:rsidRPr="009A0E53">
        <w:rPr>
          <w:rFonts w:ascii="Arial" w:hAnsi="Arial" w:cs="Arial"/>
          <w:b w:val="0"/>
          <w:sz w:val="22"/>
          <w:szCs w:val="22"/>
        </w:rPr>
        <w:t>art</w:t>
      </w:r>
      <w:r w:rsidR="00462A3F">
        <w:rPr>
          <w:rFonts w:ascii="Arial" w:hAnsi="Arial" w:cs="Arial"/>
          <w:b w:val="0"/>
          <w:sz w:val="22"/>
          <w:szCs w:val="22"/>
        </w:rPr>
        <w:t>a</w:t>
      </w:r>
      <w:r w:rsidRPr="009A0E53">
        <w:rPr>
          <w:rFonts w:ascii="Arial" w:hAnsi="Arial" w:cs="Arial"/>
          <w:b w:val="0"/>
          <w:sz w:val="22"/>
          <w:szCs w:val="22"/>
        </w:rPr>
        <w:t xml:space="preserve">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75A9FE78" w:rsidR="000351E3" w:rsidRPr="009A0E53" w:rsidRDefault="00462A3F" w:rsidP="000351E3">
      <w:pPr>
        <w:pStyle w:val="Nagwek1"/>
        <w:numPr>
          <w:ilvl w:val="1"/>
          <w:numId w:val="24"/>
        </w:numPr>
        <w:shd w:val="clear" w:color="auto" w:fill="FFFFFF"/>
        <w:rPr>
          <w:rFonts w:ascii="Arial" w:hAnsi="Arial" w:cs="Arial"/>
          <w:b w:val="0"/>
          <w:sz w:val="22"/>
          <w:szCs w:val="22"/>
          <w:lang w:val="x-none"/>
        </w:rPr>
      </w:pPr>
      <w:bookmarkStart w:id="1248" w:name="_Toc153526786"/>
      <w:r>
        <w:rPr>
          <w:rFonts w:ascii="Arial" w:hAnsi="Arial" w:cs="Arial"/>
          <w:b w:val="0"/>
          <w:sz w:val="22"/>
          <w:szCs w:val="22"/>
        </w:rPr>
        <w:t>K</w:t>
      </w:r>
      <w:r w:rsidR="000351E3" w:rsidRPr="009A0E53">
        <w:rPr>
          <w:rFonts w:ascii="Arial" w:hAnsi="Arial" w:cs="Arial"/>
          <w:b w:val="0"/>
          <w:sz w:val="22"/>
          <w:szCs w:val="22"/>
        </w:rPr>
        <w:t>art</w:t>
      </w:r>
      <w:r>
        <w:rPr>
          <w:rFonts w:ascii="Arial" w:hAnsi="Arial" w:cs="Arial"/>
          <w:b w:val="0"/>
          <w:sz w:val="22"/>
          <w:szCs w:val="22"/>
        </w:rPr>
        <w:t>a</w:t>
      </w:r>
      <w:r w:rsidR="000351E3" w:rsidRPr="009A0E53">
        <w:rPr>
          <w:rFonts w:ascii="Arial" w:hAnsi="Arial" w:cs="Arial"/>
          <w:b w:val="0"/>
          <w:sz w:val="22"/>
          <w:szCs w:val="22"/>
        </w:rPr>
        <w:t xml:space="preserve"> oceny merytorycznej II stopnia wniosku o dofinansowanie projektu w postępowaniu </w:t>
      </w:r>
      <w:r w:rsidR="007F04B0">
        <w:rPr>
          <w:rFonts w:ascii="Arial" w:hAnsi="Arial" w:cs="Arial"/>
          <w:b w:val="0"/>
          <w:sz w:val="22"/>
          <w:szCs w:val="22"/>
        </w:rPr>
        <w:t>nie</w:t>
      </w:r>
      <w:r w:rsidR="000351E3" w:rsidRPr="009A0E53">
        <w:rPr>
          <w:rFonts w:ascii="Arial" w:hAnsi="Arial" w:cs="Arial"/>
          <w:b w:val="0"/>
          <w:sz w:val="22"/>
          <w:szCs w:val="22"/>
        </w:rPr>
        <w:t xml:space="preserve">konkurencyjnym </w:t>
      </w:r>
      <w:r w:rsidR="000351E3" w:rsidRPr="009A0E53">
        <w:rPr>
          <w:rFonts w:ascii="Arial" w:hAnsi="Arial" w:cs="Arial"/>
          <w:b w:val="0"/>
          <w:sz w:val="22"/>
          <w:szCs w:val="22"/>
          <w:lang w:val="x-none"/>
        </w:rPr>
        <w:t xml:space="preserve"> 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8"/>
      <w:r w:rsidR="000351E3" w:rsidRPr="009A0E53">
        <w:rPr>
          <w:rFonts w:ascii="Arial" w:hAnsi="Arial" w:cs="Arial"/>
          <w:b w:val="0"/>
          <w:sz w:val="22"/>
          <w:szCs w:val="22"/>
        </w:rPr>
        <w:t xml:space="preserve"> </w:t>
      </w:r>
    </w:p>
    <w:p w14:paraId="686B4A54" w14:textId="62475679"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9A0E53">
        <w:rPr>
          <w:rFonts w:ascii="Arial" w:eastAsia="Calibri" w:hAnsi="Arial" w:cs="Arial"/>
          <w:b w:val="0"/>
          <w:bCs w:val="0"/>
          <w:kern w:val="0"/>
          <w:sz w:val="22"/>
          <w:szCs w:val="22"/>
          <w:lang w:eastAsia="ar-SA"/>
        </w:rPr>
        <w:t>Kart</w:t>
      </w:r>
      <w:r w:rsidR="00462A3F">
        <w:rPr>
          <w:rFonts w:ascii="Arial" w:eastAsia="Calibri" w:hAnsi="Arial" w:cs="Arial"/>
          <w:b w:val="0"/>
          <w:bCs w:val="0"/>
          <w:kern w:val="0"/>
          <w:sz w:val="22"/>
          <w:szCs w:val="22"/>
          <w:lang w:eastAsia="ar-SA"/>
        </w:rPr>
        <w:t>a</w:t>
      </w:r>
      <w:r w:rsidRPr="009A0E53">
        <w:rPr>
          <w:rFonts w:ascii="Arial" w:eastAsia="Calibri" w:hAnsi="Arial" w:cs="Arial"/>
          <w:b w:val="0"/>
          <w:bCs w:val="0"/>
          <w:kern w:val="0"/>
          <w:sz w:val="22"/>
          <w:szCs w:val="22"/>
          <w:lang w:eastAsia="ar-SA"/>
        </w:rPr>
        <w:t xml:space="preserve">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61EC1EAF" w:rsidR="00AA7361" w:rsidRPr="00A80EEF" w:rsidRDefault="006C61D0" w:rsidP="00A80EEF">
      <w:pPr>
        <w:pStyle w:val="Akapitzlist"/>
        <w:numPr>
          <w:ilvl w:val="1"/>
          <w:numId w:val="18"/>
        </w:numPr>
        <w:autoSpaceDE w:val="0"/>
        <w:autoSpaceDN w:val="0"/>
        <w:adjustRightInd w:val="0"/>
        <w:spacing w:line="360" w:lineRule="auto"/>
        <w:rPr>
          <w:rFonts w:ascii="Arial" w:hAnsi="Arial" w:cs="Arial"/>
          <w:sz w:val="22"/>
          <w:szCs w:val="22"/>
        </w:rPr>
      </w:pPr>
      <w:r w:rsidRPr="00A80EEF">
        <w:rPr>
          <w:rFonts w:ascii="Arial" w:hAnsi="Arial" w:cs="Arial"/>
          <w:sz w:val="22"/>
          <w:szCs w:val="22"/>
        </w:rPr>
        <w:t>Informacji o numerze rachunku płatniczego transferowego (jeśli wyodrębniono), na który przekazywane są środki w ramach projektu</w:t>
      </w:r>
      <w:r w:rsidR="00587DFC">
        <w:rPr>
          <w:rFonts w:ascii="Arial" w:hAnsi="Arial" w:cs="Arial"/>
          <w:sz w:val="22"/>
          <w:szCs w:val="22"/>
        </w:rPr>
        <w:t>,</w:t>
      </w:r>
    </w:p>
    <w:p w14:paraId="4CB51B28"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Pr>
          <w:rFonts w:ascii="Arial" w:hAnsi="Arial" w:cs="Arial"/>
          <w:sz w:val="22"/>
          <w:szCs w:val="22"/>
        </w:rPr>
        <w:t xml:space="preserve"> (jeśli dotyczy),</w:t>
      </w:r>
    </w:p>
    <w:p w14:paraId="5ADF9B15" w14:textId="77777777" w:rsidR="006A09DB"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Pr>
          <w:rFonts w:ascii="Arial" w:hAnsi="Arial" w:cs="Arial"/>
          <w:sz w:val="22"/>
          <w:szCs w:val="22"/>
        </w:rPr>
        <w:t xml:space="preserve"> (jeśli dotyczy).</w:t>
      </w:r>
    </w:p>
    <w:p w14:paraId="3B95CC1E" w14:textId="77777777" w:rsidR="00646E5C" w:rsidRPr="00646E5C" w:rsidRDefault="00646E5C" w:rsidP="00646E5C">
      <w:pPr>
        <w:pStyle w:val="Akapitzlist"/>
        <w:numPr>
          <w:ilvl w:val="1"/>
          <w:numId w:val="18"/>
        </w:numPr>
        <w:rPr>
          <w:rFonts w:ascii="Arial" w:hAnsi="Arial" w:cs="Arial"/>
          <w:sz w:val="22"/>
          <w:szCs w:val="22"/>
        </w:rPr>
      </w:pPr>
      <w:r w:rsidRPr="00646E5C">
        <w:rPr>
          <w:rFonts w:ascii="Arial" w:hAnsi="Arial" w:cs="Arial"/>
          <w:sz w:val="22"/>
          <w:szCs w:val="22"/>
        </w:rPr>
        <w:t>Realizacja mieszkalnictwa z usługami/ze wsparciem</w:t>
      </w: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8902DD4" w14:textId="07EC244A"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C5CDCA6" w14:textId="0938D359"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1637"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4E6A9AF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1C53"/>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42B3"/>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092"/>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76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0A8"/>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35"/>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2"/>
    <w:rsid w:val="00147CEA"/>
    <w:rsid w:val="001502F4"/>
    <w:rsid w:val="001504BA"/>
    <w:rsid w:val="001505D9"/>
    <w:rsid w:val="00150887"/>
    <w:rsid w:val="001510F1"/>
    <w:rsid w:val="001518CA"/>
    <w:rsid w:val="00151B29"/>
    <w:rsid w:val="00151C34"/>
    <w:rsid w:val="00152021"/>
    <w:rsid w:val="00152062"/>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4E90"/>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4B95"/>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1C9"/>
    <w:rsid w:val="001C4A67"/>
    <w:rsid w:val="001C563A"/>
    <w:rsid w:val="001C6365"/>
    <w:rsid w:val="001C6CB3"/>
    <w:rsid w:val="001C6CB5"/>
    <w:rsid w:val="001C785D"/>
    <w:rsid w:val="001D066C"/>
    <w:rsid w:val="001D06BE"/>
    <w:rsid w:val="001D0925"/>
    <w:rsid w:val="001D0C9D"/>
    <w:rsid w:val="001D0D52"/>
    <w:rsid w:val="001D0ECD"/>
    <w:rsid w:val="001D112E"/>
    <w:rsid w:val="001D1ABC"/>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1E0F"/>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1F7CFC"/>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1B"/>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2B3"/>
    <w:rsid w:val="002A7E2B"/>
    <w:rsid w:val="002B0537"/>
    <w:rsid w:val="002B060D"/>
    <w:rsid w:val="002B0A20"/>
    <w:rsid w:val="002B1817"/>
    <w:rsid w:val="002B1A59"/>
    <w:rsid w:val="002B1EF8"/>
    <w:rsid w:val="002B2011"/>
    <w:rsid w:val="002B28C2"/>
    <w:rsid w:val="002B2BBA"/>
    <w:rsid w:val="002B34E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1CC"/>
    <w:rsid w:val="002D0815"/>
    <w:rsid w:val="002D0BA9"/>
    <w:rsid w:val="002D0EA4"/>
    <w:rsid w:val="002D0F91"/>
    <w:rsid w:val="002D1132"/>
    <w:rsid w:val="002D225E"/>
    <w:rsid w:val="002D2BEA"/>
    <w:rsid w:val="002D2CB2"/>
    <w:rsid w:val="002D3142"/>
    <w:rsid w:val="002D39E6"/>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2C7"/>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0B49"/>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49A"/>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19C3"/>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61AB"/>
    <w:rsid w:val="0041707F"/>
    <w:rsid w:val="004173F6"/>
    <w:rsid w:val="00417887"/>
    <w:rsid w:val="00420400"/>
    <w:rsid w:val="00420924"/>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2A3F"/>
    <w:rsid w:val="00463401"/>
    <w:rsid w:val="004638FF"/>
    <w:rsid w:val="00463A04"/>
    <w:rsid w:val="00463D83"/>
    <w:rsid w:val="00465115"/>
    <w:rsid w:val="00465456"/>
    <w:rsid w:val="00470ECF"/>
    <w:rsid w:val="004711C8"/>
    <w:rsid w:val="00471223"/>
    <w:rsid w:val="00472C38"/>
    <w:rsid w:val="00473605"/>
    <w:rsid w:val="00473801"/>
    <w:rsid w:val="00473B01"/>
    <w:rsid w:val="00473E3E"/>
    <w:rsid w:val="00474A20"/>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47F"/>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11F"/>
    <w:rsid w:val="005168DC"/>
    <w:rsid w:val="005169B4"/>
    <w:rsid w:val="00516D21"/>
    <w:rsid w:val="005177A9"/>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C14"/>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87DFC"/>
    <w:rsid w:val="0059037E"/>
    <w:rsid w:val="00591342"/>
    <w:rsid w:val="00591A8D"/>
    <w:rsid w:val="00592AAB"/>
    <w:rsid w:val="005932C9"/>
    <w:rsid w:val="00593637"/>
    <w:rsid w:val="005936C5"/>
    <w:rsid w:val="00593FE2"/>
    <w:rsid w:val="0059641D"/>
    <w:rsid w:val="005967A7"/>
    <w:rsid w:val="00596BEF"/>
    <w:rsid w:val="00596E64"/>
    <w:rsid w:val="005A081F"/>
    <w:rsid w:val="005A0D41"/>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3EDB"/>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2B14"/>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6E5C"/>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880"/>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7D8"/>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09DB"/>
    <w:rsid w:val="006A1043"/>
    <w:rsid w:val="006A1074"/>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FE8"/>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58"/>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B4B"/>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023"/>
    <w:rsid w:val="00775574"/>
    <w:rsid w:val="0077570A"/>
    <w:rsid w:val="00775947"/>
    <w:rsid w:val="007769BD"/>
    <w:rsid w:val="00776B03"/>
    <w:rsid w:val="0077723F"/>
    <w:rsid w:val="00780460"/>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30EA"/>
    <w:rsid w:val="007A4690"/>
    <w:rsid w:val="007A4FC6"/>
    <w:rsid w:val="007A53F9"/>
    <w:rsid w:val="007A57C9"/>
    <w:rsid w:val="007A6D6E"/>
    <w:rsid w:val="007A7AA0"/>
    <w:rsid w:val="007B06EA"/>
    <w:rsid w:val="007B0902"/>
    <w:rsid w:val="007B0D5F"/>
    <w:rsid w:val="007B0E39"/>
    <w:rsid w:val="007B184F"/>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25E"/>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7DB"/>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7F7BEE"/>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24B"/>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73"/>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3C1"/>
    <w:rsid w:val="00880915"/>
    <w:rsid w:val="0088145A"/>
    <w:rsid w:val="00881BED"/>
    <w:rsid w:val="00882238"/>
    <w:rsid w:val="00882429"/>
    <w:rsid w:val="00882A1B"/>
    <w:rsid w:val="00882C52"/>
    <w:rsid w:val="00882D2B"/>
    <w:rsid w:val="0088341C"/>
    <w:rsid w:val="0088345A"/>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E0DC5"/>
    <w:rsid w:val="008E1B0B"/>
    <w:rsid w:val="008E2587"/>
    <w:rsid w:val="008E2B01"/>
    <w:rsid w:val="008E35B5"/>
    <w:rsid w:val="008E4C30"/>
    <w:rsid w:val="008E5167"/>
    <w:rsid w:val="008E565C"/>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30"/>
    <w:rsid w:val="00924B54"/>
    <w:rsid w:val="00925B05"/>
    <w:rsid w:val="00925FD4"/>
    <w:rsid w:val="00926038"/>
    <w:rsid w:val="009265A2"/>
    <w:rsid w:val="009265CF"/>
    <w:rsid w:val="009266C1"/>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4D9"/>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42B"/>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C27"/>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0337"/>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3FD0"/>
    <w:rsid w:val="009C4056"/>
    <w:rsid w:val="009C4161"/>
    <w:rsid w:val="009C4725"/>
    <w:rsid w:val="009C51B7"/>
    <w:rsid w:val="009C53A5"/>
    <w:rsid w:val="009C549C"/>
    <w:rsid w:val="009C5538"/>
    <w:rsid w:val="009C5602"/>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0F7C"/>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647"/>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56AF2"/>
    <w:rsid w:val="00A602D1"/>
    <w:rsid w:val="00A60406"/>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0EEF"/>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F06"/>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C7E57"/>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7A3"/>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7AD"/>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0B4"/>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C54"/>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427"/>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5AC3"/>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705"/>
    <w:rsid w:val="00C84ACC"/>
    <w:rsid w:val="00C85F3B"/>
    <w:rsid w:val="00C865D5"/>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2EB"/>
    <w:rsid w:val="00CB3FAC"/>
    <w:rsid w:val="00CB46ED"/>
    <w:rsid w:val="00CB46F6"/>
    <w:rsid w:val="00CB4A73"/>
    <w:rsid w:val="00CB561B"/>
    <w:rsid w:val="00CB5BD3"/>
    <w:rsid w:val="00CB68CB"/>
    <w:rsid w:val="00CB6909"/>
    <w:rsid w:val="00CB7754"/>
    <w:rsid w:val="00CB7CE5"/>
    <w:rsid w:val="00CC02F6"/>
    <w:rsid w:val="00CC102A"/>
    <w:rsid w:val="00CC1F40"/>
    <w:rsid w:val="00CC23AD"/>
    <w:rsid w:val="00CC2831"/>
    <w:rsid w:val="00CC3CE0"/>
    <w:rsid w:val="00CC3DAC"/>
    <w:rsid w:val="00CC4145"/>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3"/>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1B2"/>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5D1"/>
    <w:rsid w:val="00D80BC5"/>
    <w:rsid w:val="00D816B1"/>
    <w:rsid w:val="00D81AC2"/>
    <w:rsid w:val="00D81D82"/>
    <w:rsid w:val="00D81FF4"/>
    <w:rsid w:val="00D820E9"/>
    <w:rsid w:val="00D827A6"/>
    <w:rsid w:val="00D82EB1"/>
    <w:rsid w:val="00D84AE4"/>
    <w:rsid w:val="00D84C02"/>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0849"/>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2E3E"/>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2F"/>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119"/>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C4E"/>
    <w:rsid w:val="00EF0D03"/>
    <w:rsid w:val="00EF0ECC"/>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A9A"/>
    <w:rsid w:val="00F14FE0"/>
    <w:rsid w:val="00F152D7"/>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01F"/>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45A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4678"/>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C7AA6"/>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459"/>
    <w:rsid w:val="00FE35A7"/>
    <w:rsid w:val="00FE445A"/>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89</Pages>
  <Words>23959</Words>
  <Characters>165159</Characters>
  <Application>Microsoft Office Word</Application>
  <DocSecurity>0</DocSecurity>
  <Lines>1376</Lines>
  <Paragraphs>377</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188741</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47</cp:revision>
  <cp:lastPrinted>2025-06-27T13:47:00Z</cp:lastPrinted>
  <dcterms:created xsi:type="dcterms:W3CDTF">2024-07-15T08:00:00Z</dcterms:created>
  <dcterms:modified xsi:type="dcterms:W3CDTF">2025-06-27T13:47:00Z</dcterms:modified>
</cp:coreProperties>
</file>